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Science and Technology, Chemistry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1451 College Chemistry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1441 Principles of Biology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2401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rganic Chemistry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3411 Organic Chemistry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3315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Hidden Figures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 STEM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 Teaching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4200 Introduction to Educational Testing and Assessment in STEM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MATH 1496 requires an ACT of 27 or higher, or a C or better in MATH 1486, or a C or better in both MATH 1390 and MATH 1392, or the equivalent of these prerequisites.</w:t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22"/>
          <w:szCs w:val="22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ab/>
        <w:t xml:space="preserve">MATH 4200 is taught in the spring of even years and may be moved to Semester 6. Students may substitute MATH 4200 with MSIT 4321 Classroom Assessment.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1410 College Physics 1 or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1441 University Physics 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1420 College Physics 2 or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 1442 University Physics 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3360 Intermediate In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rganic Chemistry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CHEM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2330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Historical Perspective of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3520 Quantitative Chemical Analysis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4660 Internship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4990 Internship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 4300 Secondary Science Methods and Materials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must choose one general elective that completes the Communication requirement of the upper-division UCA Core.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OalaQwzFiZKCdwTKiu1ya81xA==">CgMxLjAyCWguMzBqMHpsbDgAciExVEMwekNLQ3hCMUt0THg4bnRsVzRCY2xZbm9WWDhQUWY=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