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Science and Technology, Biology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 or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1441 Principles of Biology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1451 College Chemistry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2490 Genetics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2405 Anatomy &amp; 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2311 Elementary Statistics or equivalent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 Teaching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Approved Upper-Division BIOL Elective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May substitute GEOG 2330, PSCI 2312, PSYC 2330, CISA 2330, or SOC 2321.</w:t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22"/>
          <w:szCs w:val="22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ab/>
        <w:t xml:space="preserve">Students must complete 8 upper-division hours of a diversity of organisms (animal or plant) class – as approved by the department chair.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1410 College Physics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1420 College Physics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3403 Ecology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BIOL 4415 Mechanisms of Evolution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Approved Upper-Division BIOL Elective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 4300 Secondary Science Methods &amp;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4660 Internship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4990 Internship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3310 Learning &amp; Development (online)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 (hybrid-evening)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(hybrid-evening)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X+r34C5DOeFSYNWeJaP/VbcwA==">CgMxLjAyCWguMzBqMHpsbDgAciExUnZNLVJwZWl6M2VjbjItV2Y4Vk5pTXVCeFdrSGJnZ2k=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