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lineRule="auto"/>
        <w:jc w:val="center"/>
        <w:rPr>
          <w:b w:val="1"/>
          <w:bCs w:val="1"/>
          <w:color w:val="000000"/>
          <w:sz w:val="28"/>
          <w:szCs w:val="28"/>
        </w:rPr>
      </w:pPr>
      <w:bookmarkStart w:colFirst="0" w:colLast="0" w:name="_heading=h.tuchs5t5c6l6" w:id="0"/>
      <w:bookmarkEnd w:id="0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Bachelor of Science, Mathematics, Mathematics Education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1496 Calculus I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1497 Calculus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 LD UCA Core Course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2341 Introduction to Mathematical Computation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3320 Linear Algebra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2471 Calculus III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2335 Transition to Advanced Mathematics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MSIT 3310 Learning and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4313 Functions and Modeling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EDUC 4210 Integration of Technology in Teaching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5nzned23u1n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bookmarkStart w:colFirst="0" w:colLast="0" w:name="_heading=h.ygbuvwi45u52" w:id="2"/>
      <w:bookmarkEnd w:id="2"/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  <w:tab/>
      </w:r>
      <w:r w:rsidDel="00000000" w:rsidR="00000000" w:rsidRPr="00000000">
        <w:rPr>
          <w:sz w:val="18"/>
          <w:szCs w:val="18"/>
          <w:rtl w:val="0"/>
        </w:rPr>
        <w:t xml:space="preserve">MATH 1496 requires an ACT of 27 or higher, or a C or better in MATH 1486, or a C or better in both MATH 1390 and MATH 1392, or the equivalent of these prerequisites.</w:t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ab/>
        <w:t xml:space="preserve">MATH 4313 is offered in the spring of odd years.</w:t>
      </w:r>
    </w:p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3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3370 Mathematics in Secondary Schools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or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4301 Secondary Mathematics Methods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4313 Functions and Modeling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3311 Statistical Methods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EDUC 3322 Diverse Learners in Inclusive Settings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4345 College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3360 Introduction to Rings and Fields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4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4660 Teaching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Residency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4990 Teaching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Residency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4350 Introduction to the History of Mathematics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4321 Classroom Assessment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3370 Mathematics in Secondary Schools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or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4301 Secondary Mathematics Methods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4305 Classroom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18"/>
          <w:szCs w:val="18"/>
          <w:rtl w:val="0"/>
        </w:rPr>
        <w:tab/>
        <w:t xml:space="preserve">MATH 3370 is offered in the fall of odd years.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4</w:t>
      </w:r>
      <w:r w:rsidDel="00000000" w:rsidR="00000000" w:rsidRPr="00000000">
        <w:rPr>
          <w:color w:val="000000"/>
          <w:sz w:val="18"/>
          <w:szCs w:val="18"/>
          <w:rtl w:val="0"/>
        </w:rPr>
        <w:tab/>
        <w:t xml:space="preserve">MATH 4301 is offered in the fall of even years.</w:t>
      </w:r>
    </w:p>
    <w:p w:rsidR="00000000" w:rsidDel="00000000" w:rsidP="00000000" w:rsidRDefault="00000000" w:rsidRPr="00000000" w14:paraId="0000009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5</w:t>
      </w:r>
      <w:r w:rsidDel="00000000" w:rsidR="00000000" w:rsidRPr="00000000">
        <w:rPr>
          <w:sz w:val="18"/>
          <w:szCs w:val="18"/>
          <w:rtl w:val="0"/>
        </w:rPr>
        <w:tab/>
        <w:t xml:space="preserve">Students may substitute MSIT 4321 with MATH 4200 Introduction to Educational Testing and Assessment in STEM and a one credit general elective.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oA4OckRrhu3dUACh2p32W7T4w==">CgMxLjAyDmgudHVjaHM1dDVjNmw2Mg5oLjVuem5lZDIzdTFucjIOaC55Z2J1dndpNDV1NTIyCWguMzBqMHpsbDgAciExOWF2Q2d6Y091b2I2X0ZRTGg5UndHQ1R0VWpVd0ppUlg=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