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Education, Elementary Education K-6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122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(if not taken) or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1330 U.S. Government and Politics or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2301 The Making of America: US History to 1877 or</w:t>
              <w:br w:type="textWrapping"/>
              <w:t xml:space="preserve">HIST 2302 America in the Modern Era: US History since 1877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1330 U.S. Government and Politics (if not taken) or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2301 The Making of America: US History to 1877 or</w:t>
              <w:br w:type="textWrapping"/>
              <w:t xml:space="preserve">HIST 2302 America in the Modern Era: US History since 1877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 1300 Principles of Communication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 1300 Principles of Communication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1400 Exploring Concepts in Biology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2330 Topics in Social Justice in Teaching &amp; Learning or</w:t>
              <w:br w:type="textWrapping"/>
              <w:t xml:space="preserve">SOC 2325 Social Problems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3305 Integrated Approaches to Child and Young Adult Literature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2308 Foundations of Universal Supports for Twenty-First Century Learners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3390 Integrated Curriculum and Assessment Planning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3301 Development and Learning Theories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3310 Social Science Concepts in Arkansas History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3351 Number Systems: Integers or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3352 Number Systems: Reals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4310 Geometry and Measurement Topics for Elementary Teachers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1400 Physical Science for General Education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 — Admit Semester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 — Junior Block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and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3304 Instructional Strategies for K–6 Social Studies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3302 Orientation to Teacher Residency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4305 Literacy Assessment and Intervention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4307 Instructional Programming for Learners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4309 Positive Classroom Environment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4311 Foundations of Reading: Bottom of Scarborough’s Reading Rope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4310 Junior Block Practicum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4410 Concepts in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4312 Literacy Intervention Practicum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4315 Teaching Handwriting, Spelling &amp; Written Language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Enrollment requires a complete background check, candidate review, and completion of all pre-admit courses before registering for full-admit Elementary Education K-6 program courses.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 — 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 — Residency II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4618 Residency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4990 Residency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4316 Instructional Strategies for Math and Science K-6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4331 Trends and Issues in Elementary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4319 Guidance and Management of Children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ELSE 4320 Elementary Reading Methods: Top of Scarborough’s Reading Rope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Students cannot enroll in more than 12 credit hours during their second residency.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2026</w:t>
      <w:tab/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N0Md2I+ajAlbGOownYlphEJYQ==">CgMxLjAyCWguMzBqMHpsbDgAciExWGdkTkNHUFZkRTNLdU1ZX3VZUHBoeEZjRmhmYjFnS1Y=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