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BSE, Physical Education (K-12)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240" w:before="240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This degree program requires a total of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120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credit hours (CH). This sample degree plan demonstrates how a first-time entering freshman with no college credit can earn the degree in four years. For general and specific degree requirements, please see the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Undergraduate Bulletin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at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https://uca.edu/ubulletin</w:t>
        </w:r>
      </w:hyperlink>
      <w:r w:rsidDel="00000000" w:rsidR="00000000" w:rsidRPr="00000000">
        <w:rPr>
          <w:b w:val="1"/>
          <w:bCs w:val="1"/>
          <w:color w:val="000000"/>
          <w:rtl w:val="0"/>
        </w:rPr>
        <w:t xml:space="preserve">. Consult your academic advisor for appropriate substitutions and additional information.</w:t>
      </w:r>
    </w:p>
    <w:tbl>
      <w:tblPr>
        <w:tblStyle w:val="Table1"/>
        <w:tblW w:w="1005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rHeight w:val="8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This degree is a selective admission program. Students must apply to the Office of Candidate Services and meet established admission, exit, and retention requirements. See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0000ff"/>
                  <w:u w:val="single"/>
                  <w:rtl w:val="0"/>
                </w:rPr>
                <w:t xml:space="preserve">https://uca.edu/ubulletin/colleges-departments/ce/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for more information.</w:t>
            </w:r>
          </w:p>
        </w:tc>
      </w:tr>
    </w:tbl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and Research or</w:t>
              <w:br w:type="textWrapping"/>
              <w:t xml:space="preserve">ENGL 1320 Interdisciplinary Writing and Research or</w:t>
              <w:br w:type="textWrapping"/>
              <w:t xml:space="preserve">Other approved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1360 Quantitative Literacy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1400 Exploring Concepts in Biology or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1440 Principles of Biology 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EXSS 1320 Foundations of Wellness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1300 Education as Profession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PSYC 1300 Introduction to Psychology or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LD UCA Core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 Year Seminar or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COMM 1300 Principles of Communication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 Year Seminar or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COMM 1300 Principles of Communication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PETE 1230 Teaching Conditioning and Beginning Wright Training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PETE 2230 Teaching Team Sport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Lab Science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PETE 2250 Teaching Dance and Rhythmical Activities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HLTH 2201 First Aid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HLTH 2320 Mental Health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PETE 2300 Principles of Kinesiology and Physical Education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PETE 2223 Teaching Outdoor Education / Recreational Games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EXSS 2381 Anatomical Kinesiology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PETE 2220 Teaching Individual Sport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53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3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HLTH 3300 Methods and Materials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PETE 3363 Adapted Physical Education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3322 Diverse Learners in Inclusive Settings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HLTH 3325 Disease Management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EXSS 2340 Motor Development and Learning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EXSS 3303 Exercise Physiology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PETE 3330 Physical Education for the Elementary Grades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PETE 3316 Curriculum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EXSS 3382 Biomechanics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PETE 4310 Methods and Materials of Secondary Physical Education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4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4325 Disciplinary Literacy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PETE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4T90 Internship II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4990 Residency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strike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EXSS 4395 Sport in American Society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4210 Integration of Technology in Teaching/Learning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EXSS 4320 Measurement and Evaluation in Human Performance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EXSS 4230 Fitness Assessment and Exercise Prescription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PETE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4380 Internship 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4680 Residency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3j8oxzb21vzq" w:id="1"/>
      <w:bookmarkEnd w:id="1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lef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</w:t>
    </w:r>
    <w:r w:rsidDel="00000000" w:rsidR="00000000" w:rsidRPr="00000000">
      <w:rPr>
        <w:rtl w:val="0"/>
      </w:rPr>
      <w:t xml:space="preserve">6</w:t>
      <w:tab/>
    </w: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Four Years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yperlink" Target="https://uca.edu/ubulletin/colleges-departments/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4VISdULi9lpBtr63rb6X7P7XWA==">CgMxLjAyCWguMzBqMHpsbDIOaC4zajhveHpiMjF2enE4AHIhMVBEckduZzI1TVF2XzRqUUpFVTIwWmJEYlpzZGVuS3FR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