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Business Administration, Innovation &amp; Entrepreneurship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8lt91t5wj918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1395 Business Math or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1395 Business Math (if not taken) or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cptmrtnz9mlu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1300 Business Computing or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1300 Business Computing (if not taken) or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pb7oviaf3hvu" w:id="2"/>
            <w:bookmarkEnd w:id="2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BUAD 1300 Introduction to Business or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 2310 Global Environment of Business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BUAD 1300 Introduction to Business or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 2310 Global Environment of Business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ACCT 2309 Principles of Managerial Accounting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ACCT 2310 Principles of Financial Accounting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2330 Business Statistics or</w:t>
              <w:br w:type="textWrapping"/>
              <w:t xml:space="preserve">MKTG 2376 Business Innovation and Creative Thinking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2330 Business Statistics or</w:t>
              <w:br w:type="textWrapping"/>
              <w:t xml:space="preserve">MKTG 2376 Business Innovation and Creative Thinking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ECON 2320 Principles of Macroeconomics or</w:t>
              <w:br w:type="textWrapping"/>
              <w:t xml:space="preserve">ECON 2321 Principles of Microeconomics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 2320 Principles of Macroeconomics or</w:t>
              <w:br w:type="textWrapping"/>
              <w:t xml:space="preserve">ECON 2321 Principles of Microeconomics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ACCT 2376 Business Law for Entrepreneurs or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ACCT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2376 Business Law for Entrepreneurs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ACCT 2321 Legal Environment of Business I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MKTG 3350 Principles of Marketing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MGMT 3349 Small Business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MGMT 3340 Managing People and Work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ACCT 3376 Taxation for Entrepreneurs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FINA 3350 Personal Financial Planning or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MKTG 3360 Fundamentals of Strategic Selling or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INSU 3320 Commercial Insurance or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INSU 4320 Enterprise Risk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Upper-Division Major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Upper-Division Major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FINA 3330 Managing Finance and Capital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3321 Managing Systems and Technology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MKTG 3376 New Product Development 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MGMT 3344 Operations in Supply Chain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FINA 4376 Entrepreneurial &amp; Small Business Finance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MGMT 4347 Managing Policy and Strategy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MGMT 3346 Strategic Human Resource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MGMT 4376 New Venture Creation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t791hyk1gwrf" w:id="4"/>
      <w:bookmarkEnd w:id="4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Marketing and Management in the College of Business.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AC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2025Page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au0zOo/Mv4Su7oc3fq1gnGnAiw==">CgMxLjAyDmguOGx0OTF0NXdqOTE4Mg5oLmNwdG1ydG56OW1sdTIOaC5wYjdvdmlhZjNodnUyCWguMzBqMHpsbDIOaC50NzkxaHlrMWd3cmY4AHIhMVlxNHdVWkhXRWFjSDBmUXdvQ2JMMVh6TkN1RVFNMXBF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