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March 27,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Walk A Mile tshirts are on our instagram. $18.50 and portion goes to HAVEN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Recruitment Roundtable April 19 at 1:30 in SC207E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SkyFactor Survey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Reserve Fall 18 tailgate spots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Judicial Board apps are on OrgSync! Interviews at April 19 between 1 and 4pm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Greek Week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Mon- greek pic, 5 pm Monday April 2 football field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Tues- #UCAallgreekweek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Wed- Grill out 4 pm, rec fields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Thurs- leadership panel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Fri- relay for life 6pm farris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