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August 29, 2017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Lance Cook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Walk a mile t-shirts - April 20th (community open)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Chase 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Colton Rowe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delegate for judicial committee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Drew Hemstedt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pos="741"/>
        </w:tabs>
        <w:ind w:left="540" w:firstLine="435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6% recruitment increase from last Spring. Possibly keep week and a half for fall, push spring recruitment back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left" w:pos="741"/>
        </w:tabs>
        <w:ind w:left="540" w:firstLine="435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980000"/>
          <w:rtl w:val="0"/>
        </w:rPr>
        <w:t xml:space="preserve">Greek 101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new members required to go. This Saturday, 9 a.m., Ida Waldron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pos="741"/>
        </w:tabs>
        <w:ind w:left="540" w:firstLine="435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Constitution changes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Open Bids- Have PNM fill out recruitment registration and send Katie an email with the name of potential.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980000"/>
          <w:rtl w:val="0"/>
        </w:rPr>
        <w:t xml:space="preserve">All Greek Council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- 1/31/18 5 pm SC 214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Send Katie fraternity updated rosters in excel format by next Wednesday. 5 star forms must be sent as well. uca.edu/greeks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“row” style concert - fraternities can have tables, use it as recruitment.. SAFA funded. More details.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chili cook off for second chance ranch (foster home for families). $25 entry fee, no set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cestes1@cub.uca.edu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