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E9" w:rsidRDefault="000B07E9" w:rsidP="000B07E9">
      <w:pPr>
        <w:jc w:val="center"/>
      </w:pPr>
      <w:r>
        <w:t>UCA Athletics Department Draft Report</w:t>
      </w:r>
    </w:p>
    <w:p w:rsidR="000B07E9" w:rsidRDefault="000B07E9" w:rsidP="000B07E9">
      <w:pPr>
        <w:jc w:val="center"/>
      </w:pPr>
      <w:r>
        <w:t>February 23, 2017</w:t>
      </w:r>
    </w:p>
    <w:p w:rsidR="000B07E9" w:rsidRDefault="000B07E9" w:rsidP="000B07E9">
      <w:pPr>
        <w:jc w:val="center"/>
      </w:pPr>
      <w:r>
        <w:t>Dr. Brad Teague and Dr. Bill Bandy</w:t>
      </w:r>
      <w:bookmarkStart w:id="0" w:name="_GoBack"/>
      <w:bookmarkEnd w:id="0"/>
    </w:p>
    <w:p w:rsidR="000B07E9" w:rsidRDefault="000B07E9"/>
    <w:p w:rsidR="008F6721" w:rsidRDefault="00A76D3F">
      <w:r>
        <w:t>Athletics and Faculty Communication</w:t>
      </w:r>
      <w:r w:rsidR="000B07E9">
        <w:t xml:space="preserve">        </w:t>
      </w:r>
    </w:p>
    <w:p w:rsidR="00E31D1E" w:rsidRDefault="00E31D1E">
      <w:r>
        <w:t xml:space="preserve">In an effort </w:t>
      </w:r>
      <w:r w:rsidR="00F93387">
        <w:t xml:space="preserve">to provide better communication between athletics and the </w:t>
      </w:r>
      <w:r w:rsidR="000133A3">
        <w:t xml:space="preserve">UCA </w:t>
      </w:r>
      <w:r w:rsidR="00F93387">
        <w:t>faculty, the Faculty Senate</w:t>
      </w:r>
      <w:r w:rsidR="00186D8E">
        <w:t xml:space="preserve"> Faculty Affairs I Committee, the Faculty Senate appointed Athletics Committee, and the Athletic Director propose </w:t>
      </w:r>
      <w:r w:rsidR="000133A3">
        <w:t xml:space="preserve">an </w:t>
      </w:r>
      <w:r w:rsidR="00186D8E">
        <w:t xml:space="preserve">increase </w:t>
      </w:r>
      <w:r w:rsidR="00E502F6">
        <w:t xml:space="preserve">and improvement </w:t>
      </w:r>
      <w:r w:rsidR="000133A3">
        <w:t xml:space="preserve">in </w:t>
      </w:r>
      <w:r w:rsidR="00186D8E">
        <w:t>communicati</w:t>
      </w:r>
      <w:r w:rsidR="000133A3">
        <w:t>on</w:t>
      </w:r>
      <w:r w:rsidR="00186D8E">
        <w:t>. The increase</w:t>
      </w:r>
      <w:r w:rsidR="00E502F6">
        <w:t>d</w:t>
      </w:r>
      <w:r w:rsidR="00186D8E">
        <w:t xml:space="preserve"> </w:t>
      </w:r>
      <w:r w:rsidR="00E502F6">
        <w:t xml:space="preserve">and improved </w:t>
      </w:r>
      <w:r w:rsidR="00186D8E">
        <w:t>communication will focus on the three areas within this document and will be consisten</w:t>
      </w:r>
      <w:r w:rsidR="000133A3">
        <w:t>t and meaningful. This</w:t>
      </w:r>
      <w:r w:rsidR="00186D8E">
        <w:t xml:space="preserve"> proposal</w:t>
      </w:r>
      <w:r w:rsidR="000133A3">
        <w:t xml:space="preserve"> states that the </w:t>
      </w:r>
      <w:r w:rsidR="00E35EB2">
        <w:t>Athletics Committee and the Faculty Affairs I Committee</w:t>
      </w:r>
      <w:r w:rsidR="00186D8E">
        <w:t xml:space="preserve"> meet at the beginning and end of each semester to collaborate </w:t>
      </w:r>
      <w:r w:rsidR="000133A3">
        <w:t>on any issues and to provide</w:t>
      </w:r>
      <w:r w:rsidR="00186D8E">
        <w:t xml:space="preserve"> updates. These meeting</w:t>
      </w:r>
      <w:r w:rsidR="000133A3">
        <w:t>s</w:t>
      </w:r>
      <w:r w:rsidR="00186D8E">
        <w:t xml:space="preserve"> will be reported to the Faculty Senate. At the beginning of the academic year, the Director </w:t>
      </w:r>
      <w:r w:rsidR="00E502F6">
        <w:t xml:space="preserve">of Athletics </w:t>
      </w:r>
      <w:r w:rsidR="00186D8E">
        <w:t>and the Faculty Athletics Representative will attend a Faculty Senate meeting to go over all reports and p</w:t>
      </w:r>
      <w:r w:rsidR="000133A3">
        <w:t>rocedures cited</w:t>
      </w:r>
      <w:r w:rsidR="00186D8E">
        <w:t xml:space="preserve"> within this document.</w:t>
      </w:r>
    </w:p>
    <w:p w:rsidR="00A76D3F" w:rsidRDefault="00803843" w:rsidP="00186D8E">
      <w:pPr>
        <w:pStyle w:val="ListParagraph"/>
        <w:numPr>
          <w:ilvl w:val="0"/>
          <w:numId w:val="1"/>
        </w:numPr>
      </w:pPr>
      <w:r>
        <w:t>Finances</w:t>
      </w:r>
    </w:p>
    <w:p w:rsidR="00F36DF7" w:rsidRDefault="00F36DF7" w:rsidP="00F36DF7">
      <w:pPr>
        <w:pStyle w:val="ListParagraph"/>
        <w:numPr>
          <w:ilvl w:val="0"/>
          <w:numId w:val="2"/>
        </w:numPr>
      </w:pPr>
      <w:r>
        <w:t>Revenue sources</w:t>
      </w:r>
    </w:p>
    <w:p w:rsidR="00CE622C" w:rsidRDefault="00CE622C" w:rsidP="00CE622C">
      <w:pPr>
        <w:pStyle w:val="ListParagraph"/>
        <w:numPr>
          <w:ilvl w:val="1"/>
          <w:numId w:val="2"/>
        </w:numPr>
      </w:pPr>
      <w:r>
        <w:t>E&amp;G capped by the state – 10%</w:t>
      </w:r>
    </w:p>
    <w:p w:rsidR="00CE622C" w:rsidRDefault="00CE622C" w:rsidP="00CE622C">
      <w:pPr>
        <w:pStyle w:val="ListParagraph"/>
        <w:numPr>
          <w:ilvl w:val="1"/>
          <w:numId w:val="2"/>
        </w:numPr>
      </w:pPr>
      <w:r>
        <w:t>Student Fees ($18 per credit hour) – 42%</w:t>
      </w:r>
    </w:p>
    <w:p w:rsidR="00CE622C" w:rsidRDefault="00CE622C" w:rsidP="00CE622C">
      <w:pPr>
        <w:pStyle w:val="ListParagraph"/>
        <w:numPr>
          <w:ilvl w:val="1"/>
          <w:numId w:val="2"/>
        </w:numPr>
      </w:pPr>
      <w:r>
        <w:t>Auxiliaries (food service and housing) – 24%</w:t>
      </w:r>
    </w:p>
    <w:p w:rsidR="00CE622C" w:rsidRDefault="00CE622C" w:rsidP="00CE622C">
      <w:pPr>
        <w:pStyle w:val="ListParagraph"/>
        <w:numPr>
          <w:ilvl w:val="1"/>
          <w:numId w:val="2"/>
        </w:numPr>
      </w:pPr>
      <w:r>
        <w:t>External (ticketing, guarantees, NCAA, corporate, private gifts) – 24%</w:t>
      </w:r>
    </w:p>
    <w:p w:rsidR="00F36DF7" w:rsidRDefault="00F36DF7" w:rsidP="00F36DF7">
      <w:pPr>
        <w:pStyle w:val="ListParagraph"/>
        <w:numPr>
          <w:ilvl w:val="0"/>
          <w:numId w:val="2"/>
        </w:numPr>
      </w:pPr>
      <w:r>
        <w:t>Expenses</w:t>
      </w:r>
    </w:p>
    <w:p w:rsidR="00CE622C" w:rsidRDefault="00CE622C" w:rsidP="00CE622C">
      <w:pPr>
        <w:pStyle w:val="ListParagraph"/>
        <w:numPr>
          <w:ilvl w:val="1"/>
          <w:numId w:val="2"/>
        </w:numPr>
      </w:pPr>
      <w:r>
        <w:t>Scholarships – 33%</w:t>
      </w:r>
    </w:p>
    <w:p w:rsidR="00CE622C" w:rsidRDefault="00CE622C" w:rsidP="00CE622C">
      <w:pPr>
        <w:pStyle w:val="ListParagraph"/>
        <w:numPr>
          <w:ilvl w:val="1"/>
          <w:numId w:val="2"/>
        </w:numPr>
      </w:pPr>
      <w:r>
        <w:t>Salaries &amp; Fringes – 32%</w:t>
      </w:r>
    </w:p>
    <w:p w:rsidR="00CE622C" w:rsidRDefault="00CE622C" w:rsidP="00CE622C">
      <w:pPr>
        <w:pStyle w:val="ListParagraph"/>
        <w:numPr>
          <w:ilvl w:val="1"/>
          <w:numId w:val="2"/>
        </w:numPr>
      </w:pPr>
      <w:r>
        <w:t>Travel – 12%</w:t>
      </w:r>
    </w:p>
    <w:p w:rsidR="00CE622C" w:rsidRDefault="00CE622C" w:rsidP="00CE622C">
      <w:pPr>
        <w:pStyle w:val="ListParagraph"/>
        <w:numPr>
          <w:ilvl w:val="1"/>
          <w:numId w:val="2"/>
        </w:numPr>
      </w:pPr>
      <w:r>
        <w:t>Total fixed – 85%</w:t>
      </w:r>
    </w:p>
    <w:p w:rsidR="00CE622C" w:rsidRDefault="00CE622C" w:rsidP="00CE622C">
      <w:pPr>
        <w:pStyle w:val="ListParagraph"/>
        <w:numPr>
          <w:ilvl w:val="1"/>
          <w:numId w:val="2"/>
        </w:numPr>
      </w:pPr>
      <w:r>
        <w:t>Non – fixed (M&amp;O, Facilities) 15%</w:t>
      </w:r>
    </w:p>
    <w:p w:rsidR="00F36DF7" w:rsidRDefault="0015597B" w:rsidP="00F36DF7">
      <w:pPr>
        <w:pStyle w:val="ListParagraph"/>
        <w:numPr>
          <w:ilvl w:val="0"/>
          <w:numId w:val="2"/>
        </w:numPr>
      </w:pPr>
      <w:r>
        <w:t xml:space="preserve">Institutional </w:t>
      </w:r>
      <w:r w:rsidR="00CE622C">
        <w:t>Subsidy</w:t>
      </w:r>
    </w:p>
    <w:p w:rsidR="00CE622C" w:rsidRDefault="00CE622C" w:rsidP="00CE622C">
      <w:pPr>
        <w:pStyle w:val="ListParagraph"/>
        <w:numPr>
          <w:ilvl w:val="1"/>
          <w:numId w:val="2"/>
        </w:numPr>
      </w:pPr>
      <w:r>
        <w:t>E&amp;G, Student Fees, Auxiliaries (76%) - $9.</w:t>
      </w:r>
      <w:r w:rsidR="0015597B">
        <w:t>4 M</w:t>
      </w:r>
    </w:p>
    <w:p w:rsidR="0015597B" w:rsidRDefault="0015597B" w:rsidP="00CE622C">
      <w:pPr>
        <w:pStyle w:val="ListParagraph"/>
        <w:numPr>
          <w:ilvl w:val="1"/>
          <w:numId w:val="2"/>
        </w:numPr>
      </w:pPr>
      <w:r>
        <w:t>134</w:t>
      </w:r>
      <w:r>
        <w:rPr>
          <w:vertAlign w:val="superscript"/>
        </w:rPr>
        <w:t xml:space="preserve"> </w:t>
      </w:r>
      <w:r>
        <w:t>out of 232 in country among public schools</w:t>
      </w:r>
    </w:p>
    <w:p w:rsidR="0015597B" w:rsidRDefault="0015597B" w:rsidP="00CE622C">
      <w:pPr>
        <w:pStyle w:val="ListParagraph"/>
        <w:numPr>
          <w:ilvl w:val="1"/>
          <w:numId w:val="2"/>
        </w:numPr>
      </w:pPr>
      <w:r>
        <w:t xml:space="preserve">72 out </w:t>
      </w:r>
      <w:r w:rsidR="00A20D10">
        <w:t xml:space="preserve">115 public schools </w:t>
      </w:r>
      <w:r>
        <w:t>in the Football Championship Subdivision (FCS)</w:t>
      </w:r>
    </w:p>
    <w:p w:rsidR="0015597B" w:rsidRDefault="0015597B" w:rsidP="00CE622C">
      <w:pPr>
        <w:pStyle w:val="ListParagraph"/>
        <w:numPr>
          <w:ilvl w:val="1"/>
          <w:numId w:val="2"/>
        </w:numPr>
      </w:pPr>
      <w:r>
        <w:t>4</w:t>
      </w:r>
      <w:r w:rsidRPr="0015597B">
        <w:rPr>
          <w:vertAlign w:val="superscript"/>
        </w:rPr>
        <w:t>th</w:t>
      </w:r>
      <w:r>
        <w:t xml:space="preserve"> in conference</w:t>
      </w:r>
    </w:p>
    <w:p w:rsidR="0074658A" w:rsidRDefault="0074658A" w:rsidP="00CE622C">
      <w:pPr>
        <w:pStyle w:val="ListParagraph"/>
        <w:numPr>
          <w:ilvl w:val="1"/>
          <w:numId w:val="2"/>
        </w:numPr>
      </w:pPr>
      <w:r>
        <w:t>2</w:t>
      </w:r>
      <w:r w:rsidRPr="0074658A">
        <w:rPr>
          <w:vertAlign w:val="superscript"/>
        </w:rPr>
        <w:t>nd</w:t>
      </w:r>
      <w:r w:rsidR="00C3211F">
        <w:t xml:space="preserve"> in s</w:t>
      </w:r>
      <w:r>
        <w:t>tate in dollars; 1</w:t>
      </w:r>
      <w:r w:rsidRPr="0074658A">
        <w:rPr>
          <w:vertAlign w:val="superscript"/>
        </w:rPr>
        <w:t>st</w:t>
      </w:r>
      <w:r>
        <w:t xml:space="preserve"> in percentage</w:t>
      </w:r>
    </w:p>
    <w:p w:rsidR="00803843" w:rsidRDefault="00803843" w:rsidP="00A76D3F">
      <w:pPr>
        <w:pStyle w:val="NoSpacing"/>
      </w:pPr>
    </w:p>
    <w:p w:rsidR="00803843" w:rsidRDefault="00803843" w:rsidP="00F36DF7">
      <w:pPr>
        <w:pStyle w:val="NoSpacing"/>
        <w:numPr>
          <w:ilvl w:val="0"/>
          <w:numId w:val="1"/>
        </w:numPr>
      </w:pPr>
      <w:r>
        <w:t>Missed Class Procedures</w:t>
      </w:r>
    </w:p>
    <w:p w:rsidR="00C3211F" w:rsidRDefault="00C3211F" w:rsidP="00F36DF7">
      <w:pPr>
        <w:pStyle w:val="NoSpacing"/>
        <w:numPr>
          <w:ilvl w:val="0"/>
          <w:numId w:val="3"/>
        </w:numPr>
      </w:pPr>
      <w:r>
        <w:t>Only for official university travel to competition</w:t>
      </w:r>
    </w:p>
    <w:p w:rsidR="00F36DF7" w:rsidRDefault="00F36DF7" w:rsidP="00F36DF7">
      <w:pPr>
        <w:pStyle w:val="NoSpacing"/>
        <w:numPr>
          <w:ilvl w:val="0"/>
          <w:numId w:val="3"/>
        </w:numPr>
      </w:pPr>
      <w:r>
        <w:t>N</w:t>
      </w:r>
      <w:r w:rsidR="0074658A">
        <w:t>otification procedures</w:t>
      </w:r>
    </w:p>
    <w:p w:rsidR="0074658A" w:rsidRDefault="0074658A" w:rsidP="0074658A">
      <w:pPr>
        <w:pStyle w:val="NoSpacing"/>
        <w:numPr>
          <w:ilvl w:val="1"/>
          <w:numId w:val="3"/>
        </w:numPr>
      </w:pPr>
      <w:r>
        <w:t>Personal communication from student detailing semester</w:t>
      </w:r>
    </w:p>
    <w:p w:rsidR="0074658A" w:rsidRDefault="0074658A" w:rsidP="0074658A">
      <w:pPr>
        <w:pStyle w:val="NoSpacing"/>
        <w:numPr>
          <w:ilvl w:val="1"/>
          <w:numId w:val="3"/>
        </w:numPr>
      </w:pPr>
      <w:r>
        <w:t>Automated email from GradesFirst</w:t>
      </w:r>
    </w:p>
    <w:p w:rsidR="0074658A" w:rsidRDefault="0074658A" w:rsidP="0074658A">
      <w:pPr>
        <w:pStyle w:val="NoSpacing"/>
        <w:numPr>
          <w:ilvl w:val="1"/>
          <w:numId w:val="3"/>
        </w:numPr>
      </w:pPr>
      <w:r>
        <w:t>Personal communication from student two class periods prior</w:t>
      </w:r>
    </w:p>
    <w:p w:rsidR="00F36DF7" w:rsidRDefault="00F36DF7" w:rsidP="00F36DF7">
      <w:pPr>
        <w:pStyle w:val="NoSpacing"/>
        <w:numPr>
          <w:ilvl w:val="0"/>
          <w:numId w:val="3"/>
        </w:numPr>
      </w:pPr>
      <w:r>
        <w:lastRenderedPageBreak/>
        <w:t>Final Exams</w:t>
      </w:r>
    </w:p>
    <w:p w:rsidR="0074658A" w:rsidRDefault="0074658A" w:rsidP="0074658A">
      <w:pPr>
        <w:pStyle w:val="NoSpacing"/>
        <w:numPr>
          <w:ilvl w:val="1"/>
          <w:numId w:val="3"/>
        </w:numPr>
      </w:pPr>
      <w:r>
        <w:t>No regular season contests may be scheduled</w:t>
      </w:r>
    </w:p>
    <w:p w:rsidR="0074658A" w:rsidRDefault="0074658A" w:rsidP="0074658A">
      <w:pPr>
        <w:pStyle w:val="NoSpacing"/>
        <w:numPr>
          <w:ilvl w:val="1"/>
          <w:numId w:val="3"/>
        </w:numPr>
      </w:pPr>
      <w:r>
        <w:t>Some spring sport tournaments occur during</w:t>
      </w:r>
    </w:p>
    <w:p w:rsidR="00F36DF7" w:rsidRDefault="00F36DF7" w:rsidP="00F36DF7">
      <w:pPr>
        <w:pStyle w:val="NoSpacing"/>
        <w:numPr>
          <w:ilvl w:val="0"/>
          <w:numId w:val="3"/>
        </w:numPr>
      </w:pPr>
      <w:r>
        <w:t>On-line courses</w:t>
      </w:r>
    </w:p>
    <w:p w:rsidR="00F36DF7" w:rsidRDefault="00F36DF7" w:rsidP="00F36DF7">
      <w:pPr>
        <w:pStyle w:val="NoSpacing"/>
        <w:numPr>
          <w:ilvl w:val="0"/>
          <w:numId w:val="3"/>
        </w:numPr>
      </w:pPr>
      <w:r>
        <w:t>Academic freedom</w:t>
      </w:r>
    </w:p>
    <w:p w:rsidR="00803843" w:rsidRDefault="00803843" w:rsidP="00A76D3F">
      <w:pPr>
        <w:pStyle w:val="NoSpacing"/>
      </w:pPr>
    </w:p>
    <w:p w:rsidR="0074658A" w:rsidRDefault="0074658A" w:rsidP="00A76D3F">
      <w:pPr>
        <w:pStyle w:val="NoSpacing"/>
      </w:pPr>
    </w:p>
    <w:p w:rsidR="00803843" w:rsidRDefault="00803843" w:rsidP="00F36DF7">
      <w:pPr>
        <w:pStyle w:val="NoSpacing"/>
        <w:numPr>
          <w:ilvl w:val="0"/>
          <w:numId w:val="1"/>
        </w:numPr>
      </w:pPr>
      <w:r>
        <w:t>Academic Metrics</w:t>
      </w:r>
      <w:r w:rsidR="00774B6C">
        <w:t xml:space="preserve"> – Ten Years</w:t>
      </w:r>
    </w:p>
    <w:p w:rsidR="00F36DF7" w:rsidRDefault="00F36DF7" w:rsidP="00F36DF7">
      <w:pPr>
        <w:pStyle w:val="NoSpacing"/>
        <w:numPr>
          <w:ilvl w:val="0"/>
          <w:numId w:val="4"/>
        </w:numPr>
      </w:pPr>
      <w:r>
        <w:t>GPA</w:t>
      </w:r>
      <w:r w:rsidR="0074658A">
        <w:t xml:space="preserve"> – improved from 2.77 to 3.14 cumulative</w:t>
      </w:r>
    </w:p>
    <w:p w:rsidR="00F36DF7" w:rsidRDefault="00F36DF7" w:rsidP="00F36DF7">
      <w:pPr>
        <w:pStyle w:val="NoSpacing"/>
        <w:numPr>
          <w:ilvl w:val="0"/>
          <w:numId w:val="4"/>
        </w:numPr>
      </w:pPr>
      <w:r>
        <w:t xml:space="preserve">Federal </w:t>
      </w:r>
      <w:r w:rsidR="00E502F6">
        <w:t xml:space="preserve">Six-Year </w:t>
      </w:r>
      <w:r>
        <w:t>Graduation Rates</w:t>
      </w:r>
      <w:r w:rsidR="0074658A">
        <w:t xml:space="preserve"> – increased from 48% to 65% (student body 45%)</w:t>
      </w:r>
    </w:p>
    <w:p w:rsidR="00F36DF7" w:rsidRDefault="00F36DF7" w:rsidP="00F36DF7">
      <w:pPr>
        <w:pStyle w:val="NoSpacing"/>
        <w:numPr>
          <w:ilvl w:val="0"/>
          <w:numId w:val="4"/>
        </w:numPr>
      </w:pPr>
      <w:r>
        <w:t>Graduation Success Rates</w:t>
      </w:r>
      <w:r w:rsidR="0074658A">
        <w:t xml:space="preserve"> – increased from 55% to 75%</w:t>
      </w:r>
    </w:p>
    <w:p w:rsidR="00F36DF7" w:rsidRDefault="00F36DF7" w:rsidP="00F36DF7">
      <w:pPr>
        <w:pStyle w:val="NoSpacing"/>
        <w:numPr>
          <w:ilvl w:val="0"/>
          <w:numId w:val="4"/>
        </w:numPr>
      </w:pPr>
      <w:r>
        <w:t>APR</w:t>
      </w:r>
      <w:r w:rsidR="0074658A">
        <w:t xml:space="preserve"> – increased from 914 (91.4%) to 987 (98.7%)</w:t>
      </w:r>
    </w:p>
    <w:p w:rsidR="00F36DF7" w:rsidRDefault="0074658A" w:rsidP="00F36DF7">
      <w:pPr>
        <w:pStyle w:val="NoSpacing"/>
        <w:numPr>
          <w:ilvl w:val="0"/>
          <w:numId w:val="4"/>
        </w:numPr>
      </w:pPr>
      <w:r>
        <w:t>Retention – 96%</w:t>
      </w:r>
      <w:r w:rsidR="00E502F6">
        <w:t xml:space="preserve"> (all students on aid and whether they return the following academic year)</w:t>
      </w:r>
    </w:p>
    <w:p w:rsidR="0074658A" w:rsidRDefault="0074658A" w:rsidP="0074658A">
      <w:pPr>
        <w:pStyle w:val="NoSpacing"/>
      </w:pPr>
    </w:p>
    <w:p w:rsidR="00803843" w:rsidRDefault="00803843" w:rsidP="00A76D3F">
      <w:pPr>
        <w:pStyle w:val="NoSpacing"/>
      </w:pPr>
    </w:p>
    <w:p w:rsidR="00803843" w:rsidRPr="00A76D3F" w:rsidRDefault="00803843" w:rsidP="00A76D3F">
      <w:pPr>
        <w:pStyle w:val="NoSpacing"/>
      </w:pPr>
    </w:p>
    <w:sectPr w:rsidR="00803843" w:rsidRPr="00A7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59D1"/>
    <w:multiLevelType w:val="hybridMultilevel"/>
    <w:tmpl w:val="ECC01516"/>
    <w:lvl w:ilvl="0" w:tplc="7F2C3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3154D"/>
    <w:multiLevelType w:val="hybridMultilevel"/>
    <w:tmpl w:val="35265CEC"/>
    <w:lvl w:ilvl="0" w:tplc="E6BAF6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6666E7"/>
    <w:multiLevelType w:val="hybridMultilevel"/>
    <w:tmpl w:val="8B9A2D90"/>
    <w:lvl w:ilvl="0" w:tplc="C9C0469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2748BF"/>
    <w:multiLevelType w:val="hybridMultilevel"/>
    <w:tmpl w:val="E0E0AEA8"/>
    <w:lvl w:ilvl="0" w:tplc="F79A78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F"/>
    <w:rsid w:val="000133A3"/>
    <w:rsid w:val="000B07E9"/>
    <w:rsid w:val="0015597B"/>
    <w:rsid w:val="00186D8E"/>
    <w:rsid w:val="0032345D"/>
    <w:rsid w:val="003A585D"/>
    <w:rsid w:val="0074658A"/>
    <w:rsid w:val="00774B6C"/>
    <w:rsid w:val="00803843"/>
    <w:rsid w:val="008F6721"/>
    <w:rsid w:val="00A20D10"/>
    <w:rsid w:val="00A76D3F"/>
    <w:rsid w:val="00C3211F"/>
    <w:rsid w:val="00CE622C"/>
    <w:rsid w:val="00E31D1E"/>
    <w:rsid w:val="00E35EB2"/>
    <w:rsid w:val="00E502F6"/>
    <w:rsid w:val="00F36DF7"/>
    <w:rsid w:val="00F9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E8722"/>
  <w15:chartTrackingRefBased/>
  <w15:docId w15:val="{A2FF015A-C2D0-4CE4-8C05-81630900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D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Teague</dc:creator>
  <cp:keywords/>
  <dc:description/>
  <cp:lastModifiedBy>Jud Copeland</cp:lastModifiedBy>
  <cp:revision>2</cp:revision>
  <dcterms:created xsi:type="dcterms:W3CDTF">2017-02-16T02:41:00Z</dcterms:created>
  <dcterms:modified xsi:type="dcterms:W3CDTF">2017-02-16T02:41:00Z</dcterms:modified>
</cp:coreProperties>
</file>