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73F58" w14:textId="6A944018" w:rsidR="0073488F" w:rsidRPr="00480EC3" w:rsidRDefault="00263B79" w:rsidP="00263B79">
      <w:pPr>
        <w:jc w:val="center"/>
        <w:rPr>
          <w:b/>
          <w:bCs/>
          <w:sz w:val="20"/>
          <w:szCs w:val="20"/>
        </w:rPr>
      </w:pPr>
      <w:bookmarkStart w:id="0" w:name="_GoBack"/>
      <w:bookmarkEnd w:id="0"/>
      <w:r w:rsidRPr="00480EC3">
        <w:rPr>
          <w:b/>
          <w:bCs/>
          <w:sz w:val="20"/>
          <w:szCs w:val="20"/>
        </w:rPr>
        <w:t>ENGLISH 2305</w:t>
      </w:r>
      <w:r w:rsidR="00480EC3" w:rsidRPr="00480EC3">
        <w:rPr>
          <w:b/>
          <w:bCs/>
          <w:sz w:val="20"/>
          <w:szCs w:val="20"/>
        </w:rPr>
        <w:t xml:space="preserve">: </w:t>
      </w:r>
      <w:r w:rsidRPr="00480EC3">
        <w:rPr>
          <w:b/>
          <w:bCs/>
          <w:sz w:val="20"/>
          <w:szCs w:val="20"/>
        </w:rPr>
        <w:t>Introduction to World Literature I</w:t>
      </w:r>
    </w:p>
    <w:p w14:paraId="7866F0DD" w14:textId="3A778DE4" w:rsidR="00263B79" w:rsidRPr="00480EC3" w:rsidRDefault="0073488F" w:rsidP="00263B79">
      <w:pPr>
        <w:jc w:val="center"/>
        <w:rPr>
          <w:b/>
          <w:bCs/>
          <w:sz w:val="20"/>
          <w:szCs w:val="20"/>
        </w:rPr>
      </w:pPr>
      <w:r w:rsidRPr="00480EC3">
        <w:rPr>
          <w:b/>
          <w:bCs/>
          <w:sz w:val="20"/>
          <w:szCs w:val="20"/>
        </w:rPr>
        <w:t xml:space="preserve">Gods </w:t>
      </w:r>
      <w:r w:rsidR="00E55E95" w:rsidRPr="00480EC3">
        <w:rPr>
          <w:b/>
          <w:bCs/>
          <w:sz w:val="20"/>
          <w:szCs w:val="20"/>
        </w:rPr>
        <w:t>&amp;</w:t>
      </w:r>
      <w:r w:rsidRPr="00480EC3">
        <w:rPr>
          <w:b/>
          <w:bCs/>
          <w:sz w:val="20"/>
          <w:szCs w:val="20"/>
        </w:rPr>
        <w:t xml:space="preserve"> Demons, Heroes </w:t>
      </w:r>
      <w:r w:rsidR="00E55E95" w:rsidRPr="00480EC3">
        <w:rPr>
          <w:b/>
          <w:bCs/>
          <w:sz w:val="20"/>
          <w:szCs w:val="20"/>
        </w:rPr>
        <w:t>&amp;</w:t>
      </w:r>
      <w:r w:rsidRPr="00480EC3">
        <w:rPr>
          <w:b/>
          <w:bCs/>
          <w:sz w:val="20"/>
          <w:szCs w:val="20"/>
        </w:rPr>
        <w:t xml:space="preserve"> Dragons: Tales from the Ancient World</w:t>
      </w:r>
    </w:p>
    <w:p w14:paraId="419E1290" w14:textId="320890E9" w:rsidR="00263B79" w:rsidRPr="00480EC3" w:rsidRDefault="00480EC3" w:rsidP="00263B79">
      <w:pPr>
        <w:jc w:val="center"/>
        <w:rPr>
          <w:b/>
          <w:bCs/>
          <w:sz w:val="20"/>
          <w:szCs w:val="20"/>
        </w:rPr>
      </w:pPr>
      <w:r w:rsidRPr="00480EC3">
        <w:rPr>
          <w:b/>
          <w:bCs/>
          <w:sz w:val="20"/>
          <w:szCs w:val="20"/>
        </w:rPr>
        <w:t>Spring 2021</w:t>
      </w:r>
    </w:p>
    <w:p w14:paraId="5B62BF68" w14:textId="3E76EFEF" w:rsidR="00263B79" w:rsidRPr="00480EC3" w:rsidRDefault="00263B79">
      <w:pPr>
        <w:rPr>
          <w:sz w:val="20"/>
          <w:szCs w:val="20"/>
        </w:rPr>
      </w:pPr>
    </w:p>
    <w:p w14:paraId="73DF824E" w14:textId="07FD72D2" w:rsidR="00263B79" w:rsidRPr="00480EC3" w:rsidRDefault="00263B79">
      <w:pPr>
        <w:rPr>
          <w:sz w:val="20"/>
          <w:szCs w:val="20"/>
        </w:rPr>
      </w:pPr>
    </w:p>
    <w:p w14:paraId="395F4A57" w14:textId="1EDEB31A" w:rsidR="00B83A8F" w:rsidRPr="00480EC3" w:rsidRDefault="00B83A8F">
      <w:pPr>
        <w:rPr>
          <w:b/>
          <w:bCs/>
          <w:sz w:val="20"/>
          <w:szCs w:val="20"/>
          <w:u w:val="single"/>
        </w:rPr>
      </w:pPr>
      <w:r w:rsidRPr="00480EC3">
        <w:rPr>
          <w:b/>
          <w:bCs/>
          <w:sz w:val="20"/>
          <w:szCs w:val="20"/>
          <w:u w:val="single"/>
        </w:rPr>
        <w:t>Contact Information</w:t>
      </w:r>
    </w:p>
    <w:p w14:paraId="212A8F53" w14:textId="270657B4" w:rsidR="00B83A8F" w:rsidRPr="00480EC3" w:rsidRDefault="00B83A8F">
      <w:pPr>
        <w:rPr>
          <w:b/>
          <w:bCs/>
          <w:sz w:val="20"/>
          <w:szCs w:val="20"/>
        </w:rPr>
      </w:pPr>
      <w:r w:rsidRPr="00480EC3">
        <w:rPr>
          <w:b/>
          <w:bCs/>
          <w:sz w:val="20"/>
          <w:szCs w:val="20"/>
        </w:rPr>
        <w:t xml:space="preserve">Email: </w:t>
      </w:r>
      <w:hyperlink r:id="rId6" w:history="1">
        <w:r w:rsidRPr="00480EC3">
          <w:rPr>
            <w:rStyle w:val="Hyperlink"/>
            <w:b/>
            <w:bCs/>
            <w:sz w:val="20"/>
            <w:szCs w:val="20"/>
          </w:rPr>
          <w:t>mblanchard@uca.edu</w:t>
        </w:r>
      </w:hyperlink>
    </w:p>
    <w:p w14:paraId="75D64AC4" w14:textId="6BD49471" w:rsidR="00B83A8F" w:rsidRPr="00480EC3" w:rsidRDefault="00B83A8F">
      <w:pPr>
        <w:rPr>
          <w:b/>
          <w:bCs/>
          <w:sz w:val="20"/>
          <w:szCs w:val="20"/>
        </w:rPr>
      </w:pPr>
      <w:r w:rsidRPr="00480EC3">
        <w:rPr>
          <w:b/>
          <w:bCs/>
          <w:sz w:val="20"/>
          <w:szCs w:val="20"/>
        </w:rPr>
        <w:t>Office: 427 Irby</w:t>
      </w:r>
    </w:p>
    <w:p w14:paraId="5299CBB9" w14:textId="153E54DE" w:rsidR="00B83A8F" w:rsidRPr="00480EC3" w:rsidRDefault="00480EC3" w:rsidP="00B83A8F">
      <w:pPr>
        <w:rPr>
          <w:b/>
          <w:bCs/>
          <w:sz w:val="20"/>
          <w:szCs w:val="20"/>
        </w:rPr>
      </w:pPr>
      <w:r w:rsidRPr="00480EC3">
        <w:rPr>
          <w:b/>
          <w:bCs/>
          <w:sz w:val="20"/>
          <w:szCs w:val="20"/>
        </w:rPr>
        <w:t xml:space="preserve">Class </w:t>
      </w:r>
      <w:r w:rsidR="00E55E95" w:rsidRPr="00480EC3">
        <w:rPr>
          <w:b/>
          <w:bCs/>
          <w:sz w:val="20"/>
          <w:szCs w:val="20"/>
        </w:rPr>
        <w:t xml:space="preserve">Meets: </w:t>
      </w:r>
      <w:r w:rsidR="00B83A8F" w:rsidRPr="00480EC3">
        <w:rPr>
          <w:b/>
          <w:bCs/>
          <w:sz w:val="20"/>
          <w:szCs w:val="20"/>
        </w:rPr>
        <w:t>TTH 10:50 a.m.-12:05 p.m.</w:t>
      </w:r>
    </w:p>
    <w:p w14:paraId="3463C715" w14:textId="77777777" w:rsidR="00480EC3" w:rsidRPr="00480EC3" w:rsidRDefault="00480EC3" w:rsidP="00480EC3">
      <w:pPr>
        <w:rPr>
          <w:b/>
          <w:bCs/>
          <w:sz w:val="20"/>
          <w:szCs w:val="20"/>
        </w:rPr>
      </w:pPr>
      <w:r w:rsidRPr="00480EC3">
        <w:rPr>
          <w:b/>
          <w:bCs/>
          <w:sz w:val="20"/>
          <w:szCs w:val="20"/>
        </w:rPr>
        <w:t>Office Hours: By appointment until further notice</w:t>
      </w:r>
    </w:p>
    <w:p w14:paraId="134A935B" w14:textId="77777777" w:rsidR="00480EC3" w:rsidRPr="00480EC3" w:rsidRDefault="00480EC3" w:rsidP="00B83A8F">
      <w:pPr>
        <w:rPr>
          <w:sz w:val="20"/>
          <w:szCs w:val="20"/>
        </w:rPr>
      </w:pPr>
    </w:p>
    <w:p w14:paraId="460CB042" w14:textId="0F021173" w:rsidR="00480EC3" w:rsidRPr="00847A73" w:rsidRDefault="00480EC3">
      <w:pPr>
        <w:rPr>
          <w:color w:val="222222"/>
          <w:sz w:val="20"/>
          <w:szCs w:val="20"/>
        </w:rPr>
      </w:pPr>
      <w:r w:rsidRPr="006F127E">
        <w:rPr>
          <w:b/>
          <w:color w:val="222222"/>
          <w:sz w:val="20"/>
          <w:szCs w:val="20"/>
        </w:rPr>
        <w:t>Course description</w:t>
      </w:r>
      <w:r w:rsidR="006F127E" w:rsidRPr="006F127E">
        <w:rPr>
          <w:b/>
          <w:color w:val="222222"/>
          <w:sz w:val="20"/>
          <w:szCs w:val="20"/>
        </w:rPr>
        <w:t>:</w:t>
      </w:r>
      <w:r w:rsidR="006F127E" w:rsidRPr="001A7866">
        <w:rPr>
          <w:b/>
          <w:color w:val="222222"/>
          <w:sz w:val="20"/>
          <w:szCs w:val="20"/>
        </w:rPr>
        <w:t xml:space="preserve"> </w:t>
      </w:r>
      <w:r w:rsidRPr="00480EC3">
        <w:rPr>
          <w:color w:val="222222"/>
          <w:sz w:val="20"/>
          <w:szCs w:val="20"/>
          <w:shd w:val="clear" w:color="auto" w:fill="FFFFFF"/>
        </w:rPr>
        <w:t>The purpose of World Literature I is to introduce student</w:t>
      </w:r>
      <w:r w:rsidR="001A7866">
        <w:rPr>
          <w:color w:val="222222"/>
          <w:sz w:val="20"/>
          <w:szCs w:val="20"/>
          <w:shd w:val="clear" w:color="auto" w:fill="FFFFFF"/>
        </w:rPr>
        <w:t>s</w:t>
      </w:r>
      <w:r w:rsidRPr="00480EC3">
        <w:rPr>
          <w:color w:val="222222"/>
          <w:sz w:val="20"/>
          <w:szCs w:val="20"/>
          <w:shd w:val="clear" w:color="auto" w:fill="FFFFFF"/>
        </w:rPr>
        <w:t xml:space="preserve"> to a variety of literary texts which have greatly influenced culture</w:t>
      </w:r>
      <w:r>
        <w:rPr>
          <w:color w:val="222222"/>
          <w:sz w:val="20"/>
          <w:szCs w:val="20"/>
          <w:shd w:val="clear" w:color="auto" w:fill="FFFFFF"/>
        </w:rPr>
        <w:t>s</w:t>
      </w:r>
      <w:r w:rsidRPr="00480EC3">
        <w:rPr>
          <w:color w:val="222222"/>
          <w:sz w:val="20"/>
          <w:szCs w:val="20"/>
          <w:shd w:val="clear" w:color="auto" w:fill="FFFFFF"/>
        </w:rPr>
        <w:t xml:space="preserve"> around the world from ancient times up to the Renaissance.</w:t>
      </w:r>
      <w:r w:rsidR="009243A4">
        <w:rPr>
          <w:rFonts w:ascii="Source Sans Pro" w:hAnsi="Source Sans Pro"/>
          <w:color w:val="222222"/>
          <w:sz w:val="27"/>
          <w:szCs w:val="27"/>
          <w:shd w:val="clear" w:color="auto" w:fill="FFFFFF"/>
        </w:rPr>
        <w:t> </w:t>
      </w:r>
      <w:r w:rsidR="00847A73" w:rsidRPr="00847A73">
        <w:rPr>
          <w:sz w:val="20"/>
          <w:szCs w:val="20"/>
        </w:rPr>
        <w:t>This course is part of the Diversity component of the Lower-Division Core. Diversity courses promote the ability to analyze familiar cultural assumptions in the context of the world’s diverse values, traditions, and belief systems as well as to analyze the major ideas, techniques and processes that inform creative works within different cultural and historical contexts.</w:t>
      </w:r>
    </w:p>
    <w:p w14:paraId="47B2A8F4" w14:textId="77777777" w:rsidR="00480EC3" w:rsidRPr="00480EC3" w:rsidRDefault="00480EC3">
      <w:pPr>
        <w:rPr>
          <w:sz w:val="20"/>
          <w:szCs w:val="20"/>
        </w:rPr>
      </w:pPr>
    </w:p>
    <w:p w14:paraId="582EB030" w14:textId="31B94AA5" w:rsidR="0073488F" w:rsidRDefault="0073488F">
      <w:pPr>
        <w:rPr>
          <w:i/>
          <w:iCs/>
          <w:sz w:val="20"/>
          <w:szCs w:val="20"/>
        </w:rPr>
      </w:pPr>
      <w:r w:rsidRPr="00480EC3">
        <w:rPr>
          <w:b/>
          <w:bCs/>
          <w:sz w:val="20"/>
          <w:szCs w:val="20"/>
          <w:u w:val="single"/>
        </w:rPr>
        <w:t>Text</w:t>
      </w:r>
      <w:r w:rsidR="006F127E" w:rsidRPr="006F127E">
        <w:rPr>
          <w:b/>
          <w:bCs/>
          <w:sz w:val="20"/>
          <w:szCs w:val="20"/>
        </w:rPr>
        <w:t xml:space="preserve">: </w:t>
      </w:r>
      <w:r w:rsidRPr="00480EC3">
        <w:rPr>
          <w:sz w:val="20"/>
          <w:szCs w:val="20"/>
        </w:rPr>
        <w:t xml:space="preserve">W.W. Norton, </w:t>
      </w:r>
      <w:r w:rsidRPr="00480EC3">
        <w:rPr>
          <w:i/>
          <w:iCs/>
          <w:sz w:val="20"/>
          <w:szCs w:val="20"/>
        </w:rPr>
        <w:t>The Norton Anthology of World Literature. Volume 1, Shorter 4</w:t>
      </w:r>
      <w:r w:rsidRPr="00480EC3">
        <w:rPr>
          <w:i/>
          <w:iCs/>
          <w:sz w:val="20"/>
          <w:szCs w:val="20"/>
          <w:vertAlign w:val="superscript"/>
        </w:rPr>
        <w:t>th</w:t>
      </w:r>
      <w:r w:rsidRPr="00480EC3">
        <w:rPr>
          <w:i/>
          <w:iCs/>
          <w:sz w:val="20"/>
          <w:szCs w:val="20"/>
        </w:rPr>
        <w:t xml:space="preserve"> edition.</w:t>
      </w:r>
    </w:p>
    <w:p w14:paraId="2C715B1C" w14:textId="3CDF729E" w:rsidR="006F127E" w:rsidRPr="006F127E" w:rsidRDefault="006F127E" w:rsidP="006F127E">
      <w:pPr>
        <w:ind w:left="570"/>
        <w:rPr>
          <w:sz w:val="20"/>
          <w:szCs w:val="20"/>
        </w:rPr>
      </w:pPr>
      <w:r w:rsidRPr="006F127E">
        <w:rPr>
          <w:bCs/>
          <w:sz w:val="20"/>
          <w:szCs w:val="20"/>
        </w:rPr>
        <w:t>Supplemental readings and online lessons will be posted on Blackboard and noted by the abbreviation (BB).</w:t>
      </w:r>
    </w:p>
    <w:p w14:paraId="79A3F031" w14:textId="214285E8" w:rsidR="0073488F" w:rsidRPr="00480EC3" w:rsidRDefault="0073488F">
      <w:pPr>
        <w:rPr>
          <w:i/>
          <w:iCs/>
          <w:sz w:val="20"/>
          <w:szCs w:val="20"/>
        </w:rPr>
      </w:pPr>
    </w:p>
    <w:p w14:paraId="53737757" w14:textId="729B3C7E" w:rsidR="00744913" w:rsidRDefault="00744913" w:rsidP="009243A4">
      <w:pPr>
        <w:jc w:val="both"/>
        <w:rPr>
          <w:bCs/>
          <w:color w:val="222222"/>
          <w:sz w:val="20"/>
          <w:szCs w:val="20"/>
        </w:rPr>
      </w:pPr>
      <w:r w:rsidRPr="006F127E">
        <w:rPr>
          <w:b/>
          <w:color w:val="222222"/>
          <w:sz w:val="20"/>
          <w:szCs w:val="20"/>
        </w:rPr>
        <w:t>Course calendar</w:t>
      </w:r>
      <w:r w:rsidR="006F127E">
        <w:rPr>
          <w:b/>
          <w:color w:val="222222"/>
          <w:sz w:val="20"/>
          <w:szCs w:val="20"/>
        </w:rPr>
        <w:t xml:space="preserve">: </w:t>
      </w:r>
      <w:bookmarkStart w:id="1" w:name="_Hlk519752682"/>
      <w:r w:rsidRPr="00744913">
        <w:rPr>
          <w:bCs/>
          <w:color w:val="222222"/>
          <w:sz w:val="20"/>
          <w:szCs w:val="20"/>
        </w:rPr>
        <w:t>The semester will be divided into four (4) units of relatively equal length. Each unit will be capped with a test</w:t>
      </w:r>
      <w:r>
        <w:rPr>
          <w:bCs/>
          <w:color w:val="222222"/>
          <w:sz w:val="20"/>
          <w:szCs w:val="20"/>
        </w:rPr>
        <w:t xml:space="preserve"> on the following dates: February 6, March 16, April 13, and May 6. </w:t>
      </w:r>
      <w:r w:rsidRPr="00744913">
        <w:rPr>
          <w:bCs/>
          <w:color w:val="222222"/>
          <w:sz w:val="20"/>
          <w:szCs w:val="20"/>
        </w:rPr>
        <w:t xml:space="preserve">In addition, there will be one (1) term essay due on </w:t>
      </w:r>
      <w:r>
        <w:rPr>
          <w:bCs/>
          <w:color w:val="222222"/>
          <w:sz w:val="20"/>
          <w:szCs w:val="20"/>
        </w:rPr>
        <w:t>April 29</w:t>
      </w:r>
      <w:r w:rsidRPr="00744913">
        <w:rPr>
          <w:bCs/>
          <w:color w:val="222222"/>
          <w:sz w:val="20"/>
          <w:szCs w:val="20"/>
        </w:rPr>
        <w:t>.</w:t>
      </w:r>
    </w:p>
    <w:p w14:paraId="044A3D7D" w14:textId="2F25950A" w:rsidR="00744913" w:rsidRDefault="00744913" w:rsidP="00744913">
      <w:pPr>
        <w:rPr>
          <w:bCs/>
          <w:color w:val="222222"/>
          <w:sz w:val="20"/>
          <w:szCs w:val="20"/>
        </w:rPr>
      </w:pPr>
    </w:p>
    <w:p w14:paraId="08999CFE" w14:textId="68510E03" w:rsidR="00744913" w:rsidRDefault="00744913" w:rsidP="00744913">
      <w:pPr>
        <w:rPr>
          <w:bCs/>
          <w:color w:val="222222"/>
          <w:sz w:val="20"/>
          <w:szCs w:val="20"/>
        </w:rPr>
      </w:pPr>
      <w:r>
        <w:rPr>
          <w:bCs/>
          <w:color w:val="222222"/>
          <w:sz w:val="20"/>
          <w:szCs w:val="20"/>
        </w:rPr>
        <w:t>***</w:t>
      </w:r>
      <w:r w:rsidRPr="00744913">
        <w:rPr>
          <w:bCs/>
          <w:color w:val="222222"/>
          <w:sz w:val="20"/>
          <w:szCs w:val="20"/>
        </w:rPr>
        <w:t xml:space="preserve">A detailed schedule of class meetings, reading assignments, online lessons, and tests for each unit will be posted on Blackboard prior to the beginning of the unit. </w:t>
      </w:r>
      <w:r>
        <w:rPr>
          <w:bCs/>
          <w:color w:val="222222"/>
          <w:sz w:val="20"/>
          <w:szCs w:val="20"/>
        </w:rPr>
        <w:t>***</w:t>
      </w:r>
    </w:p>
    <w:p w14:paraId="140E9682" w14:textId="77777777" w:rsidR="00744913" w:rsidRDefault="00744913" w:rsidP="00744913">
      <w:pPr>
        <w:rPr>
          <w:bCs/>
          <w:color w:val="222222"/>
          <w:sz w:val="20"/>
          <w:szCs w:val="20"/>
        </w:rPr>
      </w:pPr>
    </w:p>
    <w:p w14:paraId="577BBB71" w14:textId="4C6AF07F" w:rsidR="00744913" w:rsidRPr="006F127E" w:rsidRDefault="00744913" w:rsidP="00744913">
      <w:pPr>
        <w:rPr>
          <w:bCs/>
          <w:sz w:val="20"/>
          <w:szCs w:val="20"/>
        </w:rPr>
      </w:pPr>
      <w:r w:rsidRPr="006F127E">
        <w:rPr>
          <w:bCs/>
          <w:sz w:val="20"/>
          <w:szCs w:val="20"/>
        </w:rPr>
        <w:t xml:space="preserve">Due to the continuation of the COVID-19 pandemic, the posted schedules — as well as the format of instruction (in-person vs. online) — are subject to change. </w:t>
      </w:r>
    </w:p>
    <w:p w14:paraId="40D2B485" w14:textId="77777777" w:rsidR="00744913" w:rsidRPr="00744913" w:rsidRDefault="00744913" w:rsidP="00744913">
      <w:pPr>
        <w:rPr>
          <w:bCs/>
          <w:sz w:val="20"/>
          <w:szCs w:val="20"/>
        </w:rPr>
      </w:pPr>
    </w:p>
    <w:bookmarkEnd w:id="1"/>
    <w:p w14:paraId="6676D9ED" w14:textId="5602BD86" w:rsidR="00744913" w:rsidRDefault="00744913" w:rsidP="00CC1039">
      <w:pPr>
        <w:rPr>
          <w:rFonts w:eastAsia="Times New Roman"/>
          <w:bCs/>
          <w:sz w:val="20"/>
          <w:szCs w:val="20"/>
        </w:rPr>
      </w:pPr>
      <w:r w:rsidRPr="006F127E">
        <w:rPr>
          <w:rFonts w:eastAsia="Times New Roman"/>
          <w:b/>
          <w:sz w:val="20"/>
          <w:szCs w:val="20"/>
        </w:rPr>
        <w:t>Method of Instruction</w:t>
      </w:r>
      <w:r w:rsidR="006F127E">
        <w:rPr>
          <w:rFonts w:eastAsia="Times New Roman"/>
          <w:b/>
          <w:sz w:val="20"/>
          <w:szCs w:val="20"/>
        </w:rPr>
        <w:t xml:space="preserve">: </w:t>
      </w:r>
      <w:r w:rsidRPr="00744913">
        <w:rPr>
          <w:rFonts w:eastAsia="Times New Roman"/>
          <w:bCs/>
          <w:sz w:val="20"/>
          <w:szCs w:val="20"/>
        </w:rPr>
        <w:t xml:space="preserve">The learning experience for each course participant will be enhanced through a combination of </w:t>
      </w:r>
      <w:r w:rsidRPr="009243A4">
        <w:rPr>
          <w:rFonts w:eastAsia="Times New Roman"/>
          <w:bCs/>
          <w:sz w:val="20"/>
          <w:szCs w:val="20"/>
          <w:u w:val="single"/>
        </w:rPr>
        <w:t>classroom (in-person) instruction</w:t>
      </w:r>
      <w:r w:rsidRPr="00744913">
        <w:rPr>
          <w:rFonts w:eastAsia="Times New Roman"/>
          <w:bCs/>
          <w:sz w:val="20"/>
          <w:szCs w:val="20"/>
        </w:rPr>
        <w:t xml:space="preserve"> (health guidelines permitting)</w:t>
      </w:r>
      <w:r>
        <w:rPr>
          <w:rFonts w:eastAsia="Times New Roman"/>
          <w:bCs/>
          <w:sz w:val="20"/>
          <w:szCs w:val="20"/>
        </w:rPr>
        <w:t xml:space="preserve"> and</w:t>
      </w:r>
      <w:r w:rsidRPr="00744913">
        <w:rPr>
          <w:rFonts w:eastAsia="Times New Roman"/>
          <w:bCs/>
          <w:sz w:val="20"/>
          <w:szCs w:val="20"/>
        </w:rPr>
        <w:t xml:space="preserve"> </w:t>
      </w:r>
      <w:r w:rsidRPr="009243A4">
        <w:rPr>
          <w:rFonts w:eastAsia="Times New Roman"/>
          <w:bCs/>
          <w:sz w:val="20"/>
          <w:szCs w:val="20"/>
          <w:u w:val="single"/>
        </w:rPr>
        <w:t>online lessons</w:t>
      </w:r>
      <w:r w:rsidRPr="00744913">
        <w:rPr>
          <w:rFonts w:eastAsia="Times New Roman"/>
          <w:bCs/>
          <w:sz w:val="20"/>
          <w:szCs w:val="20"/>
        </w:rPr>
        <w:t>. Classroom instruction will include both lecture and discussion, with an emphasis on the latter.</w:t>
      </w:r>
      <w:r w:rsidR="00CC1039">
        <w:rPr>
          <w:rFonts w:eastAsia="Times New Roman"/>
          <w:bCs/>
          <w:sz w:val="20"/>
          <w:szCs w:val="20"/>
        </w:rPr>
        <w:t xml:space="preserve"> For more details on the planned method of instruction for this course, refer to the document “</w:t>
      </w:r>
      <w:r w:rsidR="00CC1039" w:rsidRPr="00CC1039">
        <w:rPr>
          <w:sz w:val="20"/>
          <w:szCs w:val="20"/>
        </w:rPr>
        <w:t>Plan of Instruction – Spring 2021</w:t>
      </w:r>
      <w:r w:rsidR="00CC1039">
        <w:rPr>
          <w:rFonts w:eastAsia="Times New Roman"/>
          <w:bCs/>
          <w:sz w:val="20"/>
          <w:szCs w:val="20"/>
        </w:rPr>
        <w:t>” on Blackboard under the “Online Classroom” tab.</w:t>
      </w:r>
    </w:p>
    <w:p w14:paraId="28720B31" w14:textId="3A240D20" w:rsidR="006F127E" w:rsidRDefault="006F127E" w:rsidP="00744913">
      <w:pPr>
        <w:jc w:val="both"/>
        <w:rPr>
          <w:rFonts w:eastAsia="Times New Roman"/>
          <w:bCs/>
          <w:sz w:val="20"/>
          <w:szCs w:val="20"/>
        </w:rPr>
      </w:pPr>
    </w:p>
    <w:p w14:paraId="3AC961F7" w14:textId="39E563B5" w:rsidR="006F127E" w:rsidRPr="006F127E" w:rsidRDefault="006F127E" w:rsidP="006F127E">
      <w:pPr>
        <w:jc w:val="both"/>
        <w:rPr>
          <w:rFonts w:eastAsia="Times New Roman"/>
          <w:sz w:val="20"/>
          <w:szCs w:val="20"/>
        </w:rPr>
      </w:pPr>
      <w:r w:rsidRPr="006F127E">
        <w:rPr>
          <w:rFonts w:eastAsia="Times New Roman"/>
          <w:b/>
          <w:sz w:val="20"/>
          <w:szCs w:val="20"/>
        </w:rPr>
        <w:t xml:space="preserve">Reading Assignments: </w:t>
      </w:r>
      <w:r w:rsidRPr="006F127E">
        <w:rPr>
          <w:rFonts w:eastAsia="Times New Roman"/>
          <w:sz w:val="20"/>
          <w:szCs w:val="20"/>
        </w:rPr>
        <w:t xml:space="preserve">Course participants are expected to be just that: active and contributing members in the learning experience. As such, they should stay current with reading assignments </w:t>
      </w:r>
      <w:r w:rsidRPr="006F127E">
        <w:rPr>
          <w:rFonts w:eastAsia="Times New Roman"/>
          <w:sz w:val="20"/>
          <w:szCs w:val="20"/>
        </w:rPr>
        <w:lastRenderedPageBreak/>
        <w:t xml:space="preserve">and be prepared to contribute to classroom discussions. While there will be no objective grade assigned to participation in discussions, a record of participation may be a factor in determining a student’s final grade. </w:t>
      </w:r>
    </w:p>
    <w:p w14:paraId="5AC0043D" w14:textId="77777777" w:rsidR="006F127E" w:rsidRPr="006F127E" w:rsidRDefault="006F127E" w:rsidP="006F127E">
      <w:pPr>
        <w:jc w:val="both"/>
        <w:rPr>
          <w:rFonts w:eastAsia="Times New Roman"/>
          <w:sz w:val="20"/>
          <w:szCs w:val="20"/>
        </w:rPr>
      </w:pPr>
    </w:p>
    <w:p w14:paraId="18307408" w14:textId="77777777" w:rsidR="006F127E" w:rsidRPr="006F127E" w:rsidRDefault="006F127E" w:rsidP="006F127E">
      <w:pPr>
        <w:jc w:val="both"/>
        <w:rPr>
          <w:rFonts w:eastAsia="Times New Roman"/>
          <w:sz w:val="20"/>
          <w:szCs w:val="20"/>
        </w:rPr>
      </w:pPr>
      <w:r w:rsidRPr="006F127E">
        <w:rPr>
          <w:rFonts w:eastAsia="Times New Roman"/>
          <w:b/>
          <w:sz w:val="20"/>
          <w:szCs w:val="20"/>
        </w:rPr>
        <w:t xml:space="preserve">Attendance: </w:t>
      </w:r>
      <w:r w:rsidRPr="006F127E">
        <w:rPr>
          <w:rFonts w:eastAsia="Times New Roman"/>
          <w:sz w:val="20"/>
          <w:szCs w:val="20"/>
        </w:rPr>
        <w:t xml:space="preserve">In order to create and sustain a vital learning experience, it is important that students attend class (whether in person or online) on a regular basis. In addition, excessive absences may lead to a reduction in a student’s final grade or failure, </w:t>
      </w:r>
      <w:r w:rsidRPr="006F127E">
        <w:rPr>
          <w:rFonts w:eastAsia="Times New Roman"/>
          <w:sz w:val="20"/>
          <w:szCs w:val="20"/>
          <w:u w:val="single"/>
        </w:rPr>
        <w:t>regardless of the average grade on tests</w:t>
      </w:r>
      <w:r w:rsidRPr="006F127E">
        <w:rPr>
          <w:rFonts w:eastAsia="Times New Roman"/>
          <w:sz w:val="20"/>
          <w:szCs w:val="20"/>
        </w:rPr>
        <w:t xml:space="preserve">. “Excessive absences” is defined as follows: 1) a reduction of one letter grade after three (3) total absences </w:t>
      </w:r>
      <w:bookmarkStart w:id="2" w:name="_Hlk15566348"/>
      <w:r w:rsidRPr="006F127E">
        <w:rPr>
          <w:rFonts w:eastAsia="Times New Roman"/>
          <w:sz w:val="20"/>
          <w:szCs w:val="20"/>
          <w:u w:val="single"/>
        </w:rPr>
        <w:t>without a legitimate and verifiable excuse</w:t>
      </w:r>
      <w:bookmarkEnd w:id="2"/>
      <w:r w:rsidRPr="006F127E">
        <w:rPr>
          <w:rFonts w:eastAsia="Times New Roman"/>
          <w:sz w:val="20"/>
          <w:szCs w:val="20"/>
        </w:rPr>
        <w:t xml:space="preserve">; 2) a grade of “F” for six (6) or more total absences </w:t>
      </w:r>
      <w:r w:rsidRPr="006F127E">
        <w:rPr>
          <w:rFonts w:eastAsia="Times New Roman"/>
          <w:sz w:val="20"/>
          <w:szCs w:val="20"/>
          <w:u w:val="single"/>
        </w:rPr>
        <w:t>without a legitimate and verifiable excuse</w:t>
      </w:r>
      <w:r w:rsidRPr="006F127E">
        <w:rPr>
          <w:rFonts w:eastAsia="Times New Roman"/>
          <w:sz w:val="20"/>
          <w:szCs w:val="20"/>
        </w:rPr>
        <w:t xml:space="preserve">; 3) elimination from the class roster for three (3) consecutive absences </w:t>
      </w:r>
      <w:r w:rsidRPr="006F127E">
        <w:rPr>
          <w:rFonts w:eastAsia="Times New Roman"/>
          <w:sz w:val="20"/>
          <w:szCs w:val="20"/>
          <w:u w:val="single"/>
        </w:rPr>
        <w:t>without notice to the instructor</w:t>
      </w:r>
      <w:r w:rsidRPr="006F127E">
        <w:rPr>
          <w:rFonts w:eastAsia="Times New Roman"/>
          <w:sz w:val="20"/>
          <w:szCs w:val="20"/>
        </w:rPr>
        <w:t>. As in all good relationships, communication is the key. Please inform the instructor in advance when you foresee an absence or as soon as possible when absences are not foreseeable.</w:t>
      </w:r>
    </w:p>
    <w:p w14:paraId="15E009EF" w14:textId="77777777" w:rsidR="006F127E" w:rsidRPr="006F127E" w:rsidRDefault="006F127E" w:rsidP="006F127E">
      <w:pPr>
        <w:jc w:val="both"/>
        <w:rPr>
          <w:rFonts w:eastAsia="Times New Roman"/>
          <w:color w:val="C00000"/>
          <w:sz w:val="20"/>
          <w:szCs w:val="20"/>
        </w:rPr>
      </w:pPr>
    </w:p>
    <w:p w14:paraId="4EE9E40C" w14:textId="1202A137" w:rsidR="006F127E" w:rsidRPr="006F127E" w:rsidRDefault="006F127E" w:rsidP="006F127E">
      <w:pPr>
        <w:jc w:val="both"/>
        <w:rPr>
          <w:rFonts w:eastAsia="Times New Roman"/>
          <w:sz w:val="20"/>
          <w:szCs w:val="20"/>
        </w:rPr>
      </w:pPr>
      <w:r w:rsidRPr="006F127E">
        <w:rPr>
          <w:rFonts w:eastAsia="Times New Roman"/>
          <w:b/>
          <w:sz w:val="20"/>
          <w:szCs w:val="20"/>
        </w:rPr>
        <w:t xml:space="preserve">Tests: </w:t>
      </w:r>
      <w:r w:rsidRPr="006F127E">
        <w:rPr>
          <w:rFonts w:eastAsia="Times New Roman"/>
          <w:bCs/>
          <w:sz w:val="20"/>
          <w:szCs w:val="20"/>
        </w:rPr>
        <w:t>As noted above, t</w:t>
      </w:r>
      <w:r w:rsidRPr="006F127E">
        <w:rPr>
          <w:rFonts w:eastAsia="Times New Roman"/>
          <w:sz w:val="20"/>
          <w:szCs w:val="20"/>
        </w:rPr>
        <w:t xml:space="preserve">here will be four (4) unit tests during the semester. Tests will cover the material for that unit only and will help assess how well students have assimilated basic factual details and key concepts from the readings and class discussions. </w:t>
      </w:r>
      <w:r w:rsidRPr="006F127E">
        <w:rPr>
          <w:rFonts w:eastAsia="Times New Roman"/>
          <w:sz w:val="20"/>
          <w:szCs w:val="20"/>
          <w:u w:val="single"/>
        </w:rPr>
        <w:t>There will be no comprehensive final exam</w:t>
      </w:r>
      <w:r w:rsidRPr="006F127E">
        <w:rPr>
          <w:rFonts w:eastAsia="Times New Roman"/>
          <w:sz w:val="20"/>
          <w:szCs w:val="20"/>
        </w:rPr>
        <w:t>. Each test will include a combination of short-answer and short-discussion questions</w:t>
      </w:r>
      <w:r>
        <w:rPr>
          <w:rFonts w:eastAsia="Times New Roman"/>
          <w:sz w:val="20"/>
          <w:szCs w:val="20"/>
        </w:rPr>
        <w:t xml:space="preserve"> and </w:t>
      </w:r>
      <w:r w:rsidRPr="006F127E">
        <w:rPr>
          <w:rFonts w:eastAsia="Times New Roman"/>
          <w:sz w:val="20"/>
          <w:szCs w:val="20"/>
        </w:rPr>
        <w:t>passage identification</w:t>
      </w:r>
      <w:r>
        <w:rPr>
          <w:rFonts w:eastAsia="Times New Roman"/>
          <w:sz w:val="20"/>
          <w:szCs w:val="20"/>
        </w:rPr>
        <w:t>s</w:t>
      </w:r>
      <w:r w:rsidRPr="006F127E">
        <w:rPr>
          <w:rFonts w:eastAsia="Times New Roman"/>
          <w:sz w:val="20"/>
          <w:szCs w:val="20"/>
        </w:rPr>
        <w:t>. T</w:t>
      </w:r>
      <w:r w:rsidRPr="006F127E">
        <w:rPr>
          <w:rFonts w:eastAsia="Times New Roman"/>
          <w:color w:val="222222"/>
          <w:sz w:val="20"/>
          <w:szCs w:val="20"/>
        </w:rPr>
        <w:t>ests will be completed outside of class and submitted by email no later than 11 a.m. on the days assigned.</w:t>
      </w:r>
    </w:p>
    <w:p w14:paraId="7DDE9279" w14:textId="77777777" w:rsidR="006F127E" w:rsidRPr="006F127E" w:rsidRDefault="006F127E" w:rsidP="006F127E">
      <w:pPr>
        <w:jc w:val="both"/>
        <w:rPr>
          <w:rFonts w:eastAsia="Times New Roman"/>
          <w:color w:val="C00000"/>
          <w:sz w:val="20"/>
          <w:szCs w:val="20"/>
        </w:rPr>
      </w:pPr>
    </w:p>
    <w:p w14:paraId="5EA61E4C" w14:textId="7947467A" w:rsidR="006F127E" w:rsidRPr="006F127E" w:rsidRDefault="006F127E" w:rsidP="006F127E">
      <w:pPr>
        <w:jc w:val="both"/>
        <w:rPr>
          <w:rFonts w:eastAsia="Times New Roman"/>
          <w:bCs/>
          <w:sz w:val="20"/>
          <w:szCs w:val="20"/>
        </w:rPr>
      </w:pPr>
      <w:r w:rsidRPr="006F127E">
        <w:rPr>
          <w:rFonts w:eastAsia="Times New Roman"/>
          <w:b/>
          <w:sz w:val="20"/>
          <w:szCs w:val="20"/>
        </w:rPr>
        <w:t xml:space="preserve">Term Essay: </w:t>
      </w:r>
      <w:r w:rsidRPr="006F127E">
        <w:rPr>
          <w:rFonts w:eastAsia="Times New Roman"/>
          <w:bCs/>
          <w:sz w:val="20"/>
          <w:szCs w:val="20"/>
        </w:rPr>
        <w:t xml:space="preserve">To deepen their understanding of a key theme or topic discussed during the semester, students will write an essay on their choice of subjects from an assigned list. The essay will be typed and double-spaced, using Times Roman font and font size no larger than 12-point. The minimum length will be five (5) </w:t>
      </w:r>
      <w:r w:rsidRPr="006F127E">
        <w:rPr>
          <w:rFonts w:eastAsia="Times New Roman"/>
          <w:bCs/>
          <w:sz w:val="20"/>
          <w:szCs w:val="20"/>
          <w:u w:val="single"/>
        </w:rPr>
        <w:t>full</w:t>
      </w:r>
      <w:r w:rsidRPr="006F127E">
        <w:rPr>
          <w:rFonts w:eastAsia="Times New Roman"/>
          <w:bCs/>
          <w:sz w:val="20"/>
          <w:szCs w:val="20"/>
        </w:rPr>
        <w:t xml:space="preserve"> pages. There will be no maximum length limit. Additional guidelines regarding essays will be posted on Blackboard.</w:t>
      </w:r>
      <w:r>
        <w:rPr>
          <w:rFonts w:eastAsia="Times New Roman"/>
          <w:bCs/>
          <w:sz w:val="20"/>
          <w:szCs w:val="20"/>
        </w:rPr>
        <w:t xml:space="preserve"> Due date for the term essay is April 29.</w:t>
      </w:r>
    </w:p>
    <w:p w14:paraId="25E52AA5" w14:textId="77777777" w:rsidR="006F127E" w:rsidRPr="006F127E" w:rsidRDefault="006F127E" w:rsidP="006F127E">
      <w:pPr>
        <w:jc w:val="both"/>
        <w:rPr>
          <w:rFonts w:eastAsia="Times New Roman"/>
          <w:bCs/>
          <w:color w:val="C00000"/>
          <w:sz w:val="20"/>
          <w:szCs w:val="20"/>
        </w:rPr>
      </w:pPr>
    </w:p>
    <w:p w14:paraId="63A1B808" w14:textId="740AF3D9" w:rsidR="006F127E" w:rsidRPr="006F127E" w:rsidRDefault="006F127E" w:rsidP="006F127E">
      <w:pPr>
        <w:jc w:val="both"/>
        <w:rPr>
          <w:rFonts w:eastAsia="Times New Roman"/>
          <w:b/>
          <w:sz w:val="20"/>
          <w:szCs w:val="20"/>
        </w:rPr>
      </w:pPr>
      <w:r w:rsidRPr="006F127E">
        <w:rPr>
          <w:rFonts w:eastAsia="Times New Roman"/>
          <w:b/>
          <w:sz w:val="20"/>
          <w:szCs w:val="20"/>
        </w:rPr>
        <w:t xml:space="preserve">Make-up Policy: </w:t>
      </w:r>
      <w:r w:rsidRPr="006F127E">
        <w:rPr>
          <w:rFonts w:eastAsia="Times New Roman"/>
          <w:sz w:val="20"/>
          <w:szCs w:val="20"/>
        </w:rPr>
        <w:t>Please inform the instructor as soon as possible when you see that you will not be able to complete assignments on the dates scheduled. With few exceptions, work must be completed within one calendar week (7 days) of the original due date.</w:t>
      </w:r>
      <w:r>
        <w:rPr>
          <w:rFonts w:eastAsia="Times New Roman"/>
          <w:sz w:val="20"/>
          <w:szCs w:val="20"/>
        </w:rPr>
        <w:t xml:space="preserve"> </w:t>
      </w:r>
      <w:r w:rsidRPr="006F127E">
        <w:rPr>
          <w:rFonts w:eastAsia="Times New Roman"/>
          <w:sz w:val="20"/>
          <w:szCs w:val="20"/>
          <w:u w:val="single"/>
        </w:rPr>
        <w:t>No extension can be granted for the fourth unit test at the end of the semester</w:t>
      </w:r>
      <w:r>
        <w:rPr>
          <w:rFonts w:eastAsia="Times New Roman"/>
          <w:sz w:val="20"/>
          <w:szCs w:val="20"/>
        </w:rPr>
        <w:t>.</w:t>
      </w:r>
    </w:p>
    <w:p w14:paraId="4E1DFEAC" w14:textId="77777777" w:rsidR="006F127E" w:rsidRPr="006F127E" w:rsidRDefault="006F127E" w:rsidP="006F127E">
      <w:pPr>
        <w:jc w:val="both"/>
        <w:rPr>
          <w:rFonts w:eastAsia="Times New Roman"/>
          <w:sz w:val="20"/>
          <w:szCs w:val="20"/>
        </w:rPr>
      </w:pPr>
    </w:p>
    <w:p w14:paraId="2DDA4802" w14:textId="2A172FB1" w:rsidR="006F127E" w:rsidRPr="006F127E" w:rsidRDefault="006F127E" w:rsidP="006F127E">
      <w:pPr>
        <w:jc w:val="both"/>
        <w:rPr>
          <w:rFonts w:eastAsia="Times New Roman"/>
          <w:color w:val="222222"/>
          <w:sz w:val="20"/>
          <w:szCs w:val="20"/>
        </w:rPr>
      </w:pPr>
      <w:r w:rsidRPr="006F127E">
        <w:rPr>
          <w:b/>
          <w:sz w:val="20"/>
          <w:szCs w:val="20"/>
        </w:rPr>
        <w:t>Grading:</w:t>
      </w:r>
      <w:r w:rsidRPr="006F127E">
        <w:rPr>
          <w:color w:val="C00000"/>
          <w:sz w:val="20"/>
          <w:szCs w:val="20"/>
        </w:rPr>
        <w:t xml:space="preserve"> </w:t>
      </w:r>
      <w:r w:rsidRPr="006F127E">
        <w:rPr>
          <w:rFonts w:eastAsia="Times New Roman"/>
          <w:color w:val="222222"/>
          <w:sz w:val="20"/>
          <w:szCs w:val="20"/>
        </w:rPr>
        <w:t xml:space="preserve">Tests: </w:t>
      </w:r>
      <w:r>
        <w:rPr>
          <w:rFonts w:eastAsia="Times New Roman"/>
          <w:color w:val="222222"/>
          <w:sz w:val="20"/>
          <w:szCs w:val="20"/>
        </w:rPr>
        <w:t>4</w:t>
      </w:r>
      <w:r w:rsidRPr="006F127E">
        <w:rPr>
          <w:rFonts w:eastAsia="Times New Roman"/>
          <w:color w:val="222222"/>
          <w:sz w:val="20"/>
          <w:szCs w:val="20"/>
        </w:rPr>
        <w:t>00 total points possible. 100 points per test; Essay: 100 points possible. Tests will be graded on the following scale: 91-100 (A), 81-90 (B), 71-80 (C), 61-70 (D), 0-60 (F).</w:t>
      </w:r>
      <w:r w:rsidR="00847A73">
        <w:rPr>
          <w:rFonts w:eastAsia="Times New Roman"/>
          <w:color w:val="222222"/>
          <w:sz w:val="20"/>
          <w:szCs w:val="20"/>
        </w:rPr>
        <w:t xml:space="preserve"> </w:t>
      </w:r>
    </w:p>
    <w:p w14:paraId="2A095190" w14:textId="77777777" w:rsidR="006F127E" w:rsidRPr="006F127E" w:rsidRDefault="006F127E" w:rsidP="006F127E">
      <w:pPr>
        <w:jc w:val="both"/>
        <w:rPr>
          <w:rFonts w:eastAsia="Times New Roman"/>
          <w:color w:val="222222"/>
          <w:sz w:val="20"/>
          <w:szCs w:val="20"/>
        </w:rPr>
      </w:pPr>
      <w:r w:rsidRPr="006F127E">
        <w:rPr>
          <w:rFonts w:eastAsia="Times New Roman"/>
          <w:color w:val="222222"/>
          <w:sz w:val="20"/>
          <w:szCs w:val="20"/>
        </w:rPr>
        <w:t>A student’s final grade will be determined using the following point scale for the semester:</w:t>
      </w:r>
    </w:p>
    <w:p w14:paraId="428ADD2D" w14:textId="77777777" w:rsidR="006F127E" w:rsidRPr="006F127E" w:rsidRDefault="006F127E" w:rsidP="006F127E">
      <w:pPr>
        <w:jc w:val="both"/>
        <w:rPr>
          <w:rFonts w:eastAsia="Times New Roman"/>
          <w:color w:val="222222"/>
          <w:sz w:val="20"/>
          <w:szCs w:val="20"/>
        </w:rPr>
      </w:pPr>
    </w:p>
    <w:p w14:paraId="6453D559" w14:textId="6C3CC26A" w:rsidR="006F127E" w:rsidRPr="006F127E" w:rsidRDefault="006F127E" w:rsidP="006F127E">
      <w:pPr>
        <w:spacing w:line="256" w:lineRule="auto"/>
        <w:rPr>
          <w:rFonts w:eastAsia="Times New Roman"/>
          <w:color w:val="222222"/>
          <w:sz w:val="20"/>
          <w:szCs w:val="20"/>
        </w:rPr>
      </w:pPr>
      <w:r w:rsidRPr="006F127E">
        <w:rPr>
          <w:rFonts w:eastAsia="Times New Roman"/>
          <w:color w:val="222222"/>
          <w:sz w:val="20"/>
          <w:szCs w:val="20"/>
        </w:rPr>
        <w:tab/>
      </w:r>
      <w:r w:rsidR="00CC1039">
        <w:rPr>
          <w:rFonts w:eastAsia="Times New Roman"/>
          <w:color w:val="222222"/>
          <w:sz w:val="20"/>
          <w:szCs w:val="20"/>
        </w:rPr>
        <w:tab/>
      </w:r>
      <w:r w:rsidR="00CC1039">
        <w:rPr>
          <w:rFonts w:eastAsia="Times New Roman"/>
          <w:color w:val="222222"/>
          <w:sz w:val="20"/>
          <w:szCs w:val="20"/>
        </w:rPr>
        <w:tab/>
      </w:r>
      <w:r w:rsidRPr="006F127E">
        <w:rPr>
          <w:rFonts w:eastAsia="Times New Roman"/>
          <w:color w:val="222222"/>
          <w:sz w:val="20"/>
          <w:szCs w:val="20"/>
        </w:rPr>
        <w:t>455-500  = A</w:t>
      </w:r>
    </w:p>
    <w:p w14:paraId="7F2C948A" w14:textId="77777777" w:rsidR="006F127E" w:rsidRPr="006F127E" w:rsidRDefault="006F127E" w:rsidP="00CC1039">
      <w:pPr>
        <w:ind w:left="1440" w:firstLine="720"/>
        <w:rPr>
          <w:rFonts w:eastAsia="Times New Roman"/>
          <w:color w:val="222222"/>
          <w:sz w:val="20"/>
          <w:szCs w:val="20"/>
        </w:rPr>
      </w:pPr>
      <w:r w:rsidRPr="006F127E">
        <w:rPr>
          <w:rFonts w:eastAsia="Times New Roman"/>
          <w:color w:val="222222"/>
          <w:sz w:val="20"/>
          <w:szCs w:val="20"/>
        </w:rPr>
        <w:t>405-450  = B</w:t>
      </w:r>
    </w:p>
    <w:p w14:paraId="6C4B70D6" w14:textId="77777777" w:rsidR="006F127E" w:rsidRPr="006F127E" w:rsidRDefault="006F127E" w:rsidP="00CC1039">
      <w:pPr>
        <w:ind w:left="1440" w:firstLine="720"/>
        <w:rPr>
          <w:rFonts w:eastAsia="Times New Roman"/>
          <w:color w:val="222222"/>
          <w:sz w:val="20"/>
          <w:szCs w:val="20"/>
        </w:rPr>
      </w:pPr>
      <w:r w:rsidRPr="006F127E">
        <w:rPr>
          <w:rFonts w:eastAsia="Times New Roman"/>
          <w:color w:val="222222"/>
          <w:sz w:val="20"/>
          <w:szCs w:val="20"/>
        </w:rPr>
        <w:t>355-400  = C</w:t>
      </w:r>
    </w:p>
    <w:p w14:paraId="2534A194" w14:textId="77777777" w:rsidR="006F127E" w:rsidRPr="006F127E" w:rsidRDefault="006F127E" w:rsidP="00CC1039">
      <w:pPr>
        <w:ind w:left="1440" w:firstLine="720"/>
        <w:rPr>
          <w:rFonts w:eastAsia="Times New Roman"/>
          <w:color w:val="222222"/>
          <w:sz w:val="20"/>
          <w:szCs w:val="20"/>
        </w:rPr>
      </w:pPr>
      <w:r w:rsidRPr="006F127E">
        <w:rPr>
          <w:rFonts w:eastAsia="Times New Roman"/>
          <w:color w:val="222222"/>
          <w:sz w:val="20"/>
          <w:szCs w:val="20"/>
        </w:rPr>
        <w:t>305-350  = D</w:t>
      </w:r>
    </w:p>
    <w:p w14:paraId="6F276A87" w14:textId="77777777" w:rsidR="006F127E" w:rsidRPr="006F127E" w:rsidRDefault="006F127E" w:rsidP="00CC1039">
      <w:pPr>
        <w:ind w:left="1440" w:firstLine="720"/>
      </w:pPr>
      <w:r w:rsidRPr="006F127E">
        <w:rPr>
          <w:rFonts w:eastAsia="Times New Roman"/>
          <w:color w:val="222222"/>
          <w:sz w:val="20"/>
          <w:szCs w:val="20"/>
        </w:rPr>
        <w:t xml:space="preserve">   0-300   = F</w:t>
      </w:r>
    </w:p>
    <w:p w14:paraId="57AF27C5" w14:textId="77777777" w:rsidR="006F127E" w:rsidRPr="006F127E" w:rsidRDefault="006F127E" w:rsidP="006F127E">
      <w:pPr>
        <w:jc w:val="both"/>
        <w:rPr>
          <w:rFonts w:eastAsia="Times New Roman"/>
          <w:color w:val="222222"/>
          <w:sz w:val="20"/>
          <w:szCs w:val="20"/>
        </w:rPr>
      </w:pPr>
      <w:r w:rsidRPr="006F127E">
        <w:rPr>
          <w:rFonts w:eastAsia="Times New Roman"/>
          <w:color w:val="222222"/>
          <w:sz w:val="20"/>
          <w:szCs w:val="20"/>
        </w:rPr>
        <w:lastRenderedPageBreak/>
        <w:t>As noted above, attendance and classroom participation may be secondary factors in determining a student’s final grade.</w:t>
      </w:r>
    </w:p>
    <w:p w14:paraId="7595A3CE" w14:textId="77777777" w:rsidR="006F127E" w:rsidRPr="006F127E" w:rsidRDefault="006F127E" w:rsidP="006F127E">
      <w:pPr>
        <w:jc w:val="both"/>
        <w:rPr>
          <w:rFonts w:eastAsia="Times New Roman"/>
          <w:color w:val="C00000"/>
          <w:sz w:val="20"/>
          <w:szCs w:val="20"/>
        </w:rPr>
      </w:pPr>
    </w:p>
    <w:p w14:paraId="08B9FD9E" w14:textId="77777777" w:rsidR="006F127E" w:rsidRPr="006F127E" w:rsidRDefault="006F127E" w:rsidP="006F127E">
      <w:pPr>
        <w:jc w:val="both"/>
        <w:rPr>
          <w:rFonts w:eastAsia="Times New Roman"/>
          <w:color w:val="000000"/>
          <w:sz w:val="20"/>
          <w:szCs w:val="20"/>
        </w:rPr>
      </w:pPr>
      <w:r w:rsidRPr="006F127E">
        <w:rPr>
          <w:rFonts w:eastAsia="Times New Roman"/>
          <w:b/>
          <w:color w:val="222222"/>
          <w:sz w:val="20"/>
          <w:szCs w:val="20"/>
        </w:rPr>
        <w:t xml:space="preserve">Electronic Devices: </w:t>
      </w:r>
      <w:r w:rsidRPr="006F127E">
        <w:rPr>
          <w:rFonts w:eastAsia="Times New Roman"/>
          <w:color w:val="000000"/>
          <w:sz w:val="20"/>
          <w:szCs w:val="20"/>
        </w:rPr>
        <w:t>Before class begins, students should turn off their cell-phones, beepers, iPods, and any other electronic devices. Exceptions are laptops and tablets used for taking notes in class and/or downloading reading assignments.</w:t>
      </w:r>
    </w:p>
    <w:p w14:paraId="6243398A" w14:textId="77777777" w:rsidR="006F127E" w:rsidRPr="006F127E" w:rsidRDefault="006F127E" w:rsidP="006F127E">
      <w:pPr>
        <w:jc w:val="both"/>
        <w:rPr>
          <w:rFonts w:eastAsia="Times New Roman"/>
          <w:color w:val="222222"/>
          <w:sz w:val="20"/>
          <w:szCs w:val="20"/>
        </w:rPr>
      </w:pPr>
    </w:p>
    <w:p w14:paraId="405DC196" w14:textId="0FC120C7" w:rsidR="006F127E" w:rsidRPr="006F127E" w:rsidRDefault="006F127E" w:rsidP="006F127E">
      <w:pPr>
        <w:jc w:val="both"/>
        <w:rPr>
          <w:rFonts w:eastAsia="Times New Roman"/>
          <w:color w:val="222222"/>
          <w:sz w:val="20"/>
          <w:szCs w:val="20"/>
        </w:rPr>
      </w:pPr>
      <w:r w:rsidRPr="006F127E">
        <w:rPr>
          <w:rFonts w:eastAsia="Times New Roman"/>
          <w:b/>
          <w:color w:val="222222"/>
          <w:sz w:val="20"/>
          <w:szCs w:val="20"/>
        </w:rPr>
        <w:t xml:space="preserve">Food and Drinks: </w:t>
      </w:r>
      <w:r w:rsidRPr="006F127E">
        <w:rPr>
          <w:rFonts w:eastAsia="Times New Roman"/>
          <w:color w:val="222222"/>
          <w:sz w:val="20"/>
          <w:szCs w:val="20"/>
        </w:rPr>
        <w:t xml:space="preserve">Students are permitted to bring to class and consume snacks and non-alcoholic beverages. They are reminded that such consumption should not be a distraction to other course participants and that they must discard their trash at the end of class. </w:t>
      </w:r>
      <w:r w:rsidRPr="006F127E">
        <w:rPr>
          <w:rFonts w:eastAsia="Times New Roman"/>
          <w:color w:val="222222"/>
          <w:sz w:val="20"/>
          <w:szCs w:val="20"/>
          <w:u w:val="single"/>
        </w:rPr>
        <w:t>Failure to leave a clean classroom will result in a forfeiture of this privilege for the entire class</w:t>
      </w:r>
      <w:r w:rsidRPr="006F127E">
        <w:rPr>
          <w:rFonts w:eastAsia="Times New Roman"/>
          <w:color w:val="222222"/>
          <w:sz w:val="20"/>
          <w:szCs w:val="20"/>
        </w:rPr>
        <w:t>.</w:t>
      </w:r>
    </w:p>
    <w:p w14:paraId="67D860C5" w14:textId="77777777" w:rsidR="006F127E" w:rsidRPr="006F127E" w:rsidRDefault="006F127E" w:rsidP="006F127E">
      <w:pPr>
        <w:jc w:val="both"/>
        <w:rPr>
          <w:rFonts w:eastAsia="Times New Roman"/>
          <w:color w:val="222222"/>
          <w:sz w:val="20"/>
          <w:szCs w:val="20"/>
        </w:rPr>
      </w:pPr>
    </w:p>
    <w:p w14:paraId="73055821" w14:textId="77777777" w:rsidR="006F127E" w:rsidRPr="006F127E" w:rsidRDefault="006F127E" w:rsidP="006F127E">
      <w:pPr>
        <w:jc w:val="both"/>
        <w:textAlignment w:val="baseline"/>
        <w:rPr>
          <w:rFonts w:eastAsia="Times New Roman"/>
          <w:color w:val="000000"/>
          <w:sz w:val="20"/>
          <w:szCs w:val="20"/>
        </w:rPr>
      </w:pPr>
      <w:r w:rsidRPr="006F127E">
        <w:rPr>
          <w:rFonts w:eastAsia="Times New Roman"/>
          <w:b/>
          <w:color w:val="000000"/>
          <w:sz w:val="20"/>
          <w:szCs w:val="20"/>
        </w:rPr>
        <w:t xml:space="preserve">Academic Integrity: </w:t>
      </w:r>
      <w:r w:rsidRPr="006F127E">
        <w:rPr>
          <w:rFonts w:eastAsia="Times New Roman"/>
          <w:color w:val="000000"/>
          <w:sz w:val="20"/>
          <w:szCs w:val="20"/>
        </w:rPr>
        <w:t xml:space="preserve">The University of Central Arkansas affirms its commitment to academic integrity and expects all members of the university community to accept shared responsibility for maintaining academic integrity. Students in this course are subject to the provisions of the University’s Academic Integrity Policy, approved by the Board of Trustees as Board Policy No. 709 on February 10, 2010, and published in the Student Handbook. </w:t>
      </w:r>
    </w:p>
    <w:p w14:paraId="2F12DFC7" w14:textId="77777777" w:rsidR="006F127E" w:rsidRPr="006F127E" w:rsidRDefault="006F127E" w:rsidP="006F127E">
      <w:pPr>
        <w:jc w:val="both"/>
        <w:textAlignment w:val="baseline"/>
        <w:rPr>
          <w:rFonts w:eastAsia="Times New Roman"/>
          <w:color w:val="000000"/>
          <w:sz w:val="20"/>
          <w:szCs w:val="20"/>
        </w:rPr>
      </w:pPr>
    </w:p>
    <w:p w14:paraId="021F9D74" w14:textId="77777777" w:rsidR="006F127E" w:rsidRPr="006F127E" w:rsidRDefault="006F127E" w:rsidP="006F127E">
      <w:pPr>
        <w:jc w:val="both"/>
        <w:textAlignment w:val="baseline"/>
        <w:rPr>
          <w:rFonts w:eastAsia="Times New Roman"/>
          <w:color w:val="000000"/>
          <w:sz w:val="20"/>
          <w:szCs w:val="20"/>
        </w:rPr>
      </w:pPr>
      <w:r w:rsidRPr="006F127E">
        <w:rPr>
          <w:rFonts w:eastAsia="Times New Roman"/>
          <w:color w:val="000000"/>
          <w:sz w:val="20"/>
          <w:szCs w:val="20"/>
        </w:rPr>
        <w:t>Penalties for academic misconduct in this course may include a failing grade on an assignment, a failing grade in the course, or any other course-related sanction the instructor determines to be appropriate. Continued enrollment in this course affirms a student’s acceptance of this university policy.</w:t>
      </w:r>
    </w:p>
    <w:p w14:paraId="11E81B8C" w14:textId="77777777" w:rsidR="006F127E" w:rsidRPr="006F127E" w:rsidRDefault="006F127E" w:rsidP="006F127E">
      <w:pPr>
        <w:jc w:val="both"/>
        <w:textAlignment w:val="baseline"/>
        <w:rPr>
          <w:rFonts w:eastAsia="Times New Roman"/>
          <w:color w:val="000000"/>
          <w:sz w:val="20"/>
          <w:szCs w:val="20"/>
        </w:rPr>
      </w:pPr>
    </w:p>
    <w:p w14:paraId="10758A61" w14:textId="77777777" w:rsidR="006F127E" w:rsidRPr="006F127E" w:rsidRDefault="006F127E" w:rsidP="006F127E">
      <w:pPr>
        <w:jc w:val="both"/>
        <w:textAlignment w:val="baseline"/>
        <w:rPr>
          <w:rFonts w:eastAsia="Times New Roman"/>
          <w:color w:val="000000"/>
          <w:sz w:val="20"/>
          <w:szCs w:val="20"/>
        </w:rPr>
      </w:pPr>
      <w:bookmarkStart w:id="3" w:name="_Hlk15377842"/>
      <w:r w:rsidRPr="006F127E">
        <w:rPr>
          <w:rFonts w:eastAsia="Times New Roman"/>
          <w:b/>
          <w:color w:val="000000"/>
          <w:sz w:val="20"/>
          <w:szCs w:val="20"/>
        </w:rPr>
        <w:t>Evaluations of Instruction</w:t>
      </w:r>
      <w:bookmarkEnd w:id="3"/>
      <w:r w:rsidRPr="006F127E">
        <w:rPr>
          <w:rFonts w:eastAsia="Times New Roman"/>
          <w:b/>
          <w:color w:val="000000"/>
          <w:sz w:val="20"/>
          <w:szCs w:val="20"/>
        </w:rPr>
        <w:t>:</w:t>
      </w:r>
      <w:r w:rsidRPr="006F127E">
        <w:rPr>
          <w:rFonts w:eastAsia="Times New Roman"/>
          <w:color w:val="000000"/>
          <w:sz w:val="20"/>
          <w:szCs w:val="20"/>
        </w:rPr>
        <w:t xml:space="preserve"> Student evaluations of a course and its professor are a crucial element in helping faculty achieve excellence in the classroom and the institution in demonstrating that students are gaining knowledge. Students may evaluate courses they are taking starting on the Monday of the twelfth week of instruction through the end of finals week by logging in to myUCA and clicking on the Evals button on the top right.</w:t>
      </w:r>
    </w:p>
    <w:p w14:paraId="084A5E6B" w14:textId="77777777" w:rsidR="006F127E" w:rsidRPr="006F127E" w:rsidRDefault="006F127E" w:rsidP="006F127E">
      <w:pPr>
        <w:jc w:val="both"/>
        <w:textAlignment w:val="baseline"/>
        <w:rPr>
          <w:rFonts w:eastAsia="Times New Roman"/>
          <w:color w:val="000000"/>
          <w:sz w:val="20"/>
          <w:szCs w:val="20"/>
        </w:rPr>
      </w:pPr>
    </w:p>
    <w:p w14:paraId="2814E4AC" w14:textId="77777777" w:rsidR="006F127E" w:rsidRPr="006F127E" w:rsidRDefault="006F127E" w:rsidP="006F127E">
      <w:pPr>
        <w:rPr>
          <w:color w:val="000000"/>
          <w:sz w:val="20"/>
          <w:szCs w:val="20"/>
          <w:shd w:val="clear" w:color="auto" w:fill="FFFFFF"/>
        </w:rPr>
      </w:pPr>
      <w:r w:rsidRPr="006F127E">
        <w:rPr>
          <w:b/>
          <w:color w:val="000000"/>
          <w:sz w:val="20"/>
          <w:szCs w:val="20"/>
          <w:shd w:val="clear" w:color="auto" w:fill="FFFFFF"/>
        </w:rPr>
        <w:t>Emergency Procedures Summary</w:t>
      </w:r>
      <w:r w:rsidRPr="006F127E">
        <w:rPr>
          <w:color w:val="000000"/>
          <w:sz w:val="20"/>
          <w:szCs w:val="20"/>
          <w:shd w:val="clear" w:color="auto" w:fill="FFFFFF"/>
        </w:rPr>
        <w:t xml:space="preserve">: An Emergency Procedures Summary (EPS) for the building in which this class is held will be discussed during the first week of this course. EPS documents for most buildings on campus are available at </w:t>
      </w:r>
      <w:r w:rsidRPr="006F127E">
        <w:rPr>
          <w:color w:val="000000"/>
          <w:sz w:val="20"/>
          <w:szCs w:val="20"/>
          <w:u w:val="single"/>
          <w:shd w:val="clear" w:color="auto" w:fill="FFFFFF"/>
        </w:rPr>
        <w:t>http://uca.edu/mysafety/bep/</w:t>
      </w:r>
      <w:r w:rsidRPr="006F127E">
        <w:rPr>
          <w:color w:val="000000"/>
          <w:sz w:val="20"/>
          <w:szCs w:val="20"/>
          <w:shd w:val="clear" w:color="auto" w:fill="FFFFFF"/>
        </w:rPr>
        <w:t>. Every student should be familiar with emergency procedures for any campus building in which he/she spends time for classes or other purposes.</w:t>
      </w:r>
    </w:p>
    <w:p w14:paraId="44955DFF" w14:textId="77777777" w:rsidR="006F127E" w:rsidRPr="006F127E" w:rsidRDefault="006F127E" w:rsidP="006F127E">
      <w:pPr>
        <w:rPr>
          <w:color w:val="000000"/>
          <w:sz w:val="20"/>
          <w:szCs w:val="20"/>
          <w:shd w:val="clear" w:color="auto" w:fill="FFFFFF"/>
        </w:rPr>
      </w:pPr>
    </w:p>
    <w:p w14:paraId="3143CC5D" w14:textId="77777777" w:rsidR="006F127E" w:rsidRPr="006F127E" w:rsidRDefault="006F127E" w:rsidP="006F127E">
      <w:pPr>
        <w:rPr>
          <w:color w:val="000000"/>
          <w:sz w:val="20"/>
          <w:szCs w:val="20"/>
          <w:shd w:val="clear" w:color="auto" w:fill="FFFFFF"/>
        </w:rPr>
      </w:pPr>
      <w:r w:rsidRPr="006F127E">
        <w:rPr>
          <w:b/>
          <w:color w:val="000000"/>
          <w:sz w:val="20"/>
          <w:szCs w:val="20"/>
          <w:shd w:val="clear" w:color="auto" w:fill="FFFFFF"/>
        </w:rPr>
        <w:t>Title</w:t>
      </w:r>
      <w:r w:rsidRPr="006F127E">
        <w:rPr>
          <w:b/>
          <w:i/>
          <w:color w:val="000000"/>
          <w:sz w:val="20"/>
          <w:szCs w:val="20"/>
          <w:shd w:val="clear" w:color="auto" w:fill="FFFFFF"/>
        </w:rPr>
        <w:t xml:space="preserve"> </w:t>
      </w:r>
      <w:r w:rsidRPr="006F127E">
        <w:rPr>
          <w:b/>
          <w:color w:val="000000"/>
          <w:sz w:val="20"/>
          <w:szCs w:val="20"/>
          <w:shd w:val="clear" w:color="auto" w:fill="FFFFFF"/>
        </w:rPr>
        <w:t>IX disclosure</w:t>
      </w:r>
      <w:r w:rsidRPr="006F127E">
        <w:rPr>
          <w:color w:val="000000"/>
          <w:sz w:val="20"/>
          <w:szCs w:val="20"/>
          <w:shd w:val="clear" w:color="auto" w:fill="FFFFFF"/>
        </w:rPr>
        <w:t xml:space="preserve">: If a student discloses an act of sexual harassment, discrimination, assault, or other sexual misconduct to a faculty member (as it relates to “student-on-student” or “employee-on-student”), the faculty member cannot maintain complete confidentiality and is required to report the act and be required to reveal the names of the parties involved. Any allegations made by a student may or may not trigger an investigation. Each situation differs and the obligations to conduct an investigation will depend on those specific set of circumstances. The determination to conduct an investigation will be made by the Title IX </w:t>
      </w:r>
      <w:r w:rsidRPr="006F127E">
        <w:rPr>
          <w:color w:val="000000"/>
          <w:sz w:val="20"/>
          <w:szCs w:val="20"/>
          <w:shd w:val="clear" w:color="auto" w:fill="FFFFFF"/>
        </w:rPr>
        <w:lastRenderedPageBreak/>
        <w:t xml:space="preserve">Coordinator. For further information, please visit: </w:t>
      </w:r>
      <w:hyperlink r:id="rId7" w:history="1">
        <w:r w:rsidRPr="006F127E">
          <w:rPr>
            <w:color w:val="0563C1" w:themeColor="hyperlink"/>
            <w:sz w:val="20"/>
            <w:szCs w:val="20"/>
            <w:u w:val="single"/>
            <w:shd w:val="clear" w:color="auto" w:fill="FFFFFF"/>
          </w:rPr>
          <w:t>https://uca.edu/titleix</w:t>
        </w:r>
      </w:hyperlink>
      <w:r w:rsidRPr="006F127E">
        <w:rPr>
          <w:color w:val="000000"/>
          <w:sz w:val="20"/>
          <w:szCs w:val="20"/>
          <w:shd w:val="clear" w:color="auto" w:fill="FFFFFF"/>
        </w:rPr>
        <w:t>.  *</w:t>
      </w:r>
      <w:r w:rsidRPr="006F127E">
        <w:rPr>
          <w:i/>
          <w:color w:val="000000"/>
          <w:sz w:val="20"/>
          <w:szCs w:val="20"/>
          <w:shd w:val="clear" w:color="auto" w:fill="FFFFFF"/>
        </w:rPr>
        <w:t>Disclosure of sexual misconduct by a third party who is not a student and/or employee is also required if the misconduct occurs when the third party is a participant in a university-sponsored program, event, or activity</w:t>
      </w:r>
      <w:r w:rsidRPr="006F127E">
        <w:rPr>
          <w:color w:val="000000"/>
          <w:sz w:val="20"/>
          <w:szCs w:val="20"/>
          <w:shd w:val="clear" w:color="auto" w:fill="FFFFFF"/>
        </w:rPr>
        <w:t>.</w:t>
      </w:r>
    </w:p>
    <w:p w14:paraId="1103E5A1" w14:textId="77777777" w:rsidR="006F127E" w:rsidRPr="006F127E" w:rsidRDefault="006F127E" w:rsidP="006F127E">
      <w:pPr>
        <w:rPr>
          <w:rFonts w:eastAsia="Times New Roman"/>
          <w:b/>
          <w:color w:val="000000"/>
          <w:sz w:val="20"/>
          <w:szCs w:val="20"/>
        </w:rPr>
      </w:pPr>
    </w:p>
    <w:p w14:paraId="5D8CFCCC" w14:textId="77777777" w:rsidR="006F127E" w:rsidRPr="006F127E" w:rsidRDefault="006F127E" w:rsidP="006F127E">
      <w:pPr>
        <w:rPr>
          <w:rFonts w:eastAsia="Times New Roman"/>
          <w:sz w:val="20"/>
          <w:szCs w:val="20"/>
        </w:rPr>
      </w:pPr>
      <w:r w:rsidRPr="006F127E">
        <w:rPr>
          <w:rFonts w:eastAsia="Times New Roman"/>
          <w:b/>
          <w:color w:val="000000"/>
          <w:sz w:val="20"/>
          <w:szCs w:val="20"/>
        </w:rPr>
        <w:t>University Policy and Disabilities</w:t>
      </w:r>
      <w:r w:rsidRPr="006F127E">
        <w:rPr>
          <w:rFonts w:eastAsia="Times New Roman"/>
          <w:color w:val="000000"/>
          <w:sz w:val="20"/>
          <w:szCs w:val="20"/>
        </w:rPr>
        <w:t>: If you have any questions about a university policy, including Academic policies and the Sexual Harassment policy, please see the Student Handbook. The University of Central Arkansas adheres to the requirements of the Americans with Disabilities Act. If you need an accommodation under this Act due to a disability, contact the UCA Office of Disability Services at 450-3135.</w:t>
      </w:r>
    </w:p>
    <w:p w14:paraId="1418528E" w14:textId="77777777" w:rsidR="006F127E" w:rsidRPr="00744913" w:rsidRDefault="006F127E" w:rsidP="00744913">
      <w:pPr>
        <w:jc w:val="both"/>
        <w:rPr>
          <w:rFonts w:eastAsia="Times New Roman"/>
          <w:bCs/>
          <w:sz w:val="20"/>
          <w:szCs w:val="20"/>
        </w:rPr>
      </w:pPr>
    </w:p>
    <w:p w14:paraId="1017E3BC" w14:textId="21CBDA81" w:rsidR="0073488F" w:rsidRPr="00480EC3" w:rsidRDefault="0073488F">
      <w:pPr>
        <w:rPr>
          <w:sz w:val="20"/>
          <w:szCs w:val="20"/>
        </w:rPr>
      </w:pPr>
    </w:p>
    <w:p w14:paraId="0A838702" w14:textId="77777777" w:rsidR="0073488F" w:rsidRPr="00480EC3" w:rsidRDefault="0073488F">
      <w:pPr>
        <w:rPr>
          <w:sz w:val="20"/>
          <w:szCs w:val="20"/>
        </w:rPr>
      </w:pPr>
    </w:p>
    <w:p w14:paraId="0714F753" w14:textId="4A60D2DD" w:rsidR="00263B79" w:rsidRPr="00480EC3" w:rsidRDefault="00263B79">
      <w:pPr>
        <w:rPr>
          <w:sz w:val="20"/>
          <w:szCs w:val="20"/>
        </w:rPr>
      </w:pPr>
    </w:p>
    <w:sectPr w:rsidR="00263B79" w:rsidRPr="00480E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2E59B" w14:textId="77777777" w:rsidR="00654A74" w:rsidRDefault="00654A74" w:rsidP="009243A4">
      <w:r>
        <w:separator/>
      </w:r>
    </w:p>
  </w:endnote>
  <w:endnote w:type="continuationSeparator" w:id="0">
    <w:p w14:paraId="58A49CC1" w14:textId="77777777" w:rsidR="00654A74" w:rsidRDefault="00654A74" w:rsidP="0092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316752"/>
      <w:docPartObj>
        <w:docPartGallery w:val="Page Numbers (Bottom of Page)"/>
        <w:docPartUnique/>
      </w:docPartObj>
    </w:sdtPr>
    <w:sdtEndPr>
      <w:rPr>
        <w:noProof/>
      </w:rPr>
    </w:sdtEndPr>
    <w:sdtContent>
      <w:p w14:paraId="5EEB08C4" w14:textId="42CDA357" w:rsidR="009243A4" w:rsidRDefault="009243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525182" w14:textId="77777777" w:rsidR="009243A4" w:rsidRDefault="0092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E2398" w14:textId="77777777" w:rsidR="00654A74" w:rsidRDefault="00654A74" w:rsidP="009243A4">
      <w:r>
        <w:separator/>
      </w:r>
    </w:p>
  </w:footnote>
  <w:footnote w:type="continuationSeparator" w:id="0">
    <w:p w14:paraId="3AA9AED4" w14:textId="77777777" w:rsidR="00654A74" w:rsidRDefault="00654A74" w:rsidP="00924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79"/>
    <w:rsid w:val="000C54D5"/>
    <w:rsid w:val="001A7866"/>
    <w:rsid w:val="00263B79"/>
    <w:rsid w:val="00401B54"/>
    <w:rsid w:val="00480EC3"/>
    <w:rsid w:val="00654A74"/>
    <w:rsid w:val="006F127E"/>
    <w:rsid w:val="0073488F"/>
    <w:rsid w:val="0074287E"/>
    <w:rsid w:val="00744913"/>
    <w:rsid w:val="00847A73"/>
    <w:rsid w:val="009243A4"/>
    <w:rsid w:val="009863D2"/>
    <w:rsid w:val="009949F8"/>
    <w:rsid w:val="009E13C0"/>
    <w:rsid w:val="00A73F22"/>
    <w:rsid w:val="00AE0AE2"/>
    <w:rsid w:val="00B83A8F"/>
    <w:rsid w:val="00CC1039"/>
    <w:rsid w:val="00CF6401"/>
    <w:rsid w:val="00DA1FC8"/>
    <w:rsid w:val="00E5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E497"/>
  <w15:chartTrackingRefBased/>
  <w15:docId w15:val="{930D4BA8-1420-4581-8CCB-4ABB3CE1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ucida Sans Unicode" w:eastAsiaTheme="minorHAnsi" w:hAnsi="Lucida Sans Unicode" w:cs="Lucida Sans Unicode"/>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A8F"/>
    <w:rPr>
      <w:color w:val="0563C1" w:themeColor="hyperlink"/>
      <w:u w:val="single"/>
    </w:rPr>
  </w:style>
  <w:style w:type="character" w:styleId="UnresolvedMention">
    <w:name w:val="Unresolved Mention"/>
    <w:basedOn w:val="DefaultParagraphFont"/>
    <w:uiPriority w:val="99"/>
    <w:semiHidden/>
    <w:unhideWhenUsed/>
    <w:rsid w:val="00B83A8F"/>
    <w:rPr>
      <w:color w:val="605E5C"/>
      <w:shd w:val="clear" w:color="auto" w:fill="E1DFDD"/>
    </w:rPr>
  </w:style>
  <w:style w:type="paragraph" w:styleId="Header">
    <w:name w:val="header"/>
    <w:basedOn w:val="Normal"/>
    <w:link w:val="HeaderChar"/>
    <w:uiPriority w:val="99"/>
    <w:unhideWhenUsed/>
    <w:rsid w:val="009243A4"/>
    <w:pPr>
      <w:tabs>
        <w:tab w:val="center" w:pos="4680"/>
        <w:tab w:val="right" w:pos="9360"/>
      </w:tabs>
    </w:pPr>
  </w:style>
  <w:style w:type="character" w:customStyle="1" w:styleId="HeaderChar">
    <w:name w:val="Header Char"/>
    <w:basedOn w:val="DefaultParagraphFont"/>
    <w:link w:val="Header"/>
    <w:uiPriority w:val="99"/>
    <w:rsid w:val="009243A4"/>
  </w:style>
  <w:style w:type="paragraph" w:styleId="Footer">
    <w:name w:val="footer"/>
    <w:basedOn w:val="Normal"/>
    <w:link w:val="FooterChar"/>
    <w:uiPriority w:val="99"/>
    <w:unhideWhenUsed/>
    <w:rsid w:val="009243A4"/>
    <w:pPr>
      <w:tabs>
        <w:tab w:val="center" w:pos="4680"/>
        <w:tab w:val="right" w:pos="9360"/>
      </w:tabs>
    </w:pPr>
  </w:style>
  <w:style w:type="character" w:customStyle="1" w:styleId="FooterChar">
    <w:name w:val="Footer Char"/>
    <w:basedOn w:val="DefaultParagraphFont"/>
    <w:link w:val="Footer"/>
    <w:uiPriority w:val="99"/>
    <w:rsid w:val="0092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4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ca.edu/titlei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blanchard@uca.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Blanchard</dc:creator>
  <cp:keywords/>
  <dc:description/>
  <cp:lastModifiedBy>Melissa Eubanks</cp:lastModifiedBy>
  <cp:revision>2</cp:revision>
  <dcterms:created xsi:type="dcterms:W3CDTF">2021-01-05T14:31:00Z</dcterms:created>
  <dcterms:modified xsi:type="dcterms:W3CDTF">2021-01-05T14:31:00Z</dcterms:modified>
</cp:coreProperties>
</file>