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2F" w:rsidRDefault="00DB772F" w:rsidP="00DB772F">
      <w:pPr>
        <w:pStyle w:val="NormalWeb"/>
        <w:spacing w:before="0" w:beforeAutospacing="0" w:after="0" w:afterAutospacing="0"/>
        <w:ind w:right="342"/>
        <w:jc w:val="both"/>
        <w:rPr>
          <w:rFonts w:ascii="MS Reference Sans Serif" w:hAnsi="MS Reference Sans Serif" w:cstheme="minorHAnsi"/>
          <w:sz w:val="20"/>
          <w:szCs w:val="20"/>
        </w:rPr>
      </w:pPr>
      <w:r>
        <w:rPr>
          <w:rFonts w:ascii="MS Reference Sans Serif" w:hAnsi="MS Reference Sans Serif" w:cstheme="minorHAnsi"/>
          <w:b/>
          <w:sz w:val="20"/>
          <w:szCs w:val="20"/>
        </w:rPr>
        <w:t>PURPOSE</w:t>
      </w:r>
    </w:p>
    <w:p w:rsidR="00F82D75" w:rsidRDefault="00F82D75" w:rsidP="00DD74DD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  <w:r w:rsidRPr="00DB772F">
        <w:rPr>
          <w:rFonts w:ascii="MS Reference Sans Serif" w:hAnsi="MS Reference Sans Serif" w:cstheme="minorHAnsi"/>
          <w:sz w:val="20"/>
          <w:szCs w:val="20"/>
        </w:rPr>
        <w:t>Under the Red Flags Rule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 (</w:t>
      </w:r>
      <w:hyperlink r:id="rId8" w:history="1">
        <w:r w:rsidR="00DB772F" w:rsidRPr="00DB772F">
          <w:rPr>
            <w:rStyle w:val="Hyperlink"/>
            <w:rFonts w:ascii="MS Reference Sans Serif" w:hAnsi="MS Reference Sans Serif" w:cstheme="minorHAnsi"/>
            <w:sz w:val="20"/>
            <w:szCs w:val="20"/>
          </w:rPr>
          <w:t>16 CFR 681</w:t>
        </w:r>
      </w:hyperlink>
      <w:r w:rsidR="00DB772F">
        <w:rPr>
          <w:rFonts w:ascii="MS Reference Sans Serif" w:hAnsi="MS Reference Sans Serif" w:cstheme="minorHAnsi"/>
          <w:sz w:val="20"/>
          <w:szCs w:val="20"/>
        </w:rPr>
        <w:t>)</w:t>
      </w:r>
      <w:r w:rsidRPr="00DB772F">
        <w:rPr>
          <w:rFonts w:ascii="MS Reference Sans Serif" w:hAnsi="MS Reference Sans Serif" w:cstheme="minorHAnsi"/>
          <w:sz w:val="20"/>
          <w:szCs w:val="20"/>
        </w:rPr>
        <w:t>, the University is required to establish and maintain an Identity Theft Prevention Program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 (“Program”)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designed </w:t>
      </w:r>
      <w:r w:rsidRPr="00DB772F">
        <w:rPr>
          <w:rFonts w:ascii="MS Reference Sans Serif" w:hAnsi="MS Reference Sans Serif" w:cstheme="minorHAnsi"/>
          <w:sz w:val="20"/>
          <w:szCs w:val="20"/>
        </w:rPr>
        <w:t>to detect, prevent</w:t>
      </w:r>
      <w:r w:rsidR="00DB772F">
        <w:rPr>
          <w:rFonts w:ascii="MS Reference Sans Serif" w:hAnsi="MS Reference Sans Serif" w:cstheme="minorHAnsi"/>
          <w:sz w:val="20"/>
          <w:szCs w:val="20"/>
        </w:rPr>
        <w:t>,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 and </w:t>
      </w:r>
      <w:r w:rsidR="00216ACD">
        <w:rPr>
          <w:rFonts w:ascii="MS Reference Sans Serif" w:hAnsi="MS Reference Sans Serif" w:cstheme="minorHAnsi"/>
          <w:sz w:val="20"/>
          <w:szCs w:val="20"/>
        </w:rPr>
        <w:t>respond to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 identity theft regarding 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certain </w:t>
      </w:r>
      <w:r w:rsidR="00DB772F" w:rsidRPr="00866F60">
        <w:rPr>
          <w:rFonts w:ascii="MS Reference Sans Serif" w:hAnsi="MS Reference Sans Serif" w:cstheme="minorHAnsi"/>
          <w:i/>
          <w:sz w:val="20"/>
          <w:szCs w:val="20"/>
        </w:rPr>
        <w:t>covered accounts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 it offers, services, or maintains</w:t>
      </w:r>
      <w:r w:rsidRPr="00DB772F">
        <w:rPr>
          <w:rFonts w:ascii="MS Reference Sans Serif" w:hAnsi="MS Reference Sans Serif" w:cstheme="minorHAnsi"/>
          <w:sz w:val="20"/>
          <w:szCs w:val="20"/>
        </w:rPr>
        <w:t>.</w:t>
      </w:r>
      <w:r w:rsidR="00E35BCE"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="0017633B"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Pr="00DB772F">
        <w:rPr>
          <w:rFonts w:ascii="MS Reference Sans Serif" w:hAnsi="MS Reference Sans Serif" w:cstheme="minorHAnsi"/>
          <w:sz w:val="20"/>
          <w:szCs w:val="20"/>
        </w:rPr>
        <w:t>Th</w:t>
      </w:r>
      <w:r w:rsidR="00DB772F">
        <w:rPr>
          <w:rFonts w:ascii="MS Reference Sans Serif" w:hAnsi="MS Reference Sans Serif" w:cstheme="minorHAnsi"/>
          <w:sz w:val="20"/>
          <w:szCs w:val="20"/>
        </w:rPr>
        <w:t xml:space="preserve">is 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template may be used </w:t>
      </w:r>
      <w:r w:rsidR="00EC1473">
        <w:rPr>
          <w:rFonts w:ascii="MS Reference Sans Serif" w:hAnsi="MS Reference Sans Serif" w:cstheme="minorHAnsi"/>
          <w:sz w:val="20"/>
          <w:szCs w:val="20"/>
        </w:rPr>
        <w:t xml:space="preserve">to assist </w:t>
      </w:r>
      <w:r w:rsidR="00E256F1">
        <w:rPr>
          <w:rFonts w:ascii="MS Reference Sans Serif" w:hAnsi="MS Reference Sans Serif" w:cstheme="minorHAnsi"/>
          <w:sz w:val="20"/>
          <w:szCs w:val="20"/>
        </w:rPr>
        <w:t xml:space="preserve">units required to comply </w:t>
      </w:r>
      <w:r w:rsidR="005D3054">
        <w:rPr>
          <w:rFonts w:ascii="MS Reference Sans Serif" w:hAnsi="MS Reference Sans Serif" w:cstheme="minorHAnsi"/>
          <w:sz w:val="20"/>
          <w:szCs w:val="20"/>
        </w:rPr>
        <w:t>with documenting</w:t>
      </w:r>
      <w:r w:rsidR="00EC1473">
        <w:rPr>
          <w:rFonts w:ascii="MS Reference Sans Serif" w:hAnsi="MS Reference Sans Serif" w:cstheme="minorHAnsi"/>
          <w:sz w:val="20"/>
          <w:szCs w:val="20"/>
        </w:rPr>
        <w:t xml:space="preserve"> process</w:t>
      </w:r>
      <w:r w:rsidR="005D3054">
        <w:rPr>
          <w:rFonts w:ascii="MS Reference Sans Serif" w:hAnsi="MS Reference Sans Serif" w:cstheme="minorHAnsi"/>
          <w:sz w:val="20"/>
          <w:szCs w:val="20"/>
        </w:rPr>
        <w:t>es</w:t>
      </w:r>
      <w:r w:rsidR="00EC1473">
        <w:rPr>
          <w:rFonts w:ascii="MS Reference Sans Serif" w:hAnsi="MS Reference Sans Serif" w:cstheme="minorHAnsi"/>
          <w:sz w:val="20"/>
          <w:szCs w:val="20"/>
        </w:rPr>
        <w:t xml:space="preserve"> for identifying, detecting, and responding to red flags</w:t>
      </w:r>
      <w:r w:rsidRPr="00DB772F">
        <w:rPr>
          <w:rFonts w:ascii="MS Reference Sans Serif" w:hAnsi="MS Reference Sans Serif" w:cstheme="minorHAnsi"/>
          <w:sz w:val="20"/>
          <w:szCs w:val="20"/>
        </w:rPr>
        <w:t>.</w:t>
      </w:r>
      <w:r w:rsidR="00E35BCE"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="0017633B"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Pr="00DB772F">
        <w:rPr>
          <w:rFonts w:ascii="MS Reference Sans Serif" w:hAnsi="MS Reference Sans Serif" w:cstheme="minorHAnsi"/>
          <w:sz w:val="20"/>
          <w:szCs w:val="20"/>
        </w:rPr>
        <w:t>If you have questions</w:t>
      </w:r>
      <w:r w:rsidR="009540BB">
        <w:rPr>
          <w:rFonts w:ascii="MS Reference Sans Serif" w:hAnsi="MS Reference Sans Serif" w:cstheme="minorHAnsi"/>
          <w:sz w:val="20"/>
          <w:szCs w:val="20"/>
        </w:rPr>
        <w:t xml:space="preserve"> or need assistance with completing this </w:t>
      </w:r>
      <w:r w:rsidR="005D3054">
        <w:rPr>
          <w:rFonts w:ascii="MS Reference Sans Serif" w:hAnsi="MS Reference Sans Serif" w:cstheme="minorHAnsi"/>
          <w:sz w:val="20"/>
          <w:szCs w:val="20"/>
        </w:rPr>
        <w:t>form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, </w:t>
      </w:r>
      <w:r w:rsidR="009540BB">
        <w:rPr>
          <w:rFonts w:ascii="MS Reference Sans Serif" w:hAnsi="MS Reference Sans Serif" w:cstheme="minorHAnsi"/>
          <w:sz w:val="20"/>
          <w:szCs w:val="20"/>
        </w:rPr>
        <w:t xml:space="preserve">please </w:t>
      </w:r>
      <w:r w:rsidRPr="00DB772F">
        <w:rPr>
          <w:rFonts w:ascii="MS Reference Sans Serif" w:hAnsi="MS Reference Sans Serif" w:cstheme="minorHAnsi"/>
          <w:sz w:val="20"/>
          <w:szCs w:val="20"/>
        </w:rPr>
        <w:t xml:space="preserve">contact the </w:t>
      </w:r>
      <w:hyperlink r:id="rId9" w:history="1">
        <w:r w:rsidR="009540BB" w:rsidRPr="009540BB">
          <w:rPr>
            <w:rStyle w:val="Hyperlink"/>
            <w:rFonts w:ascii="MS Reference Sans Serif" w:hAnsi="MS Reference Sans Serif" w:cstheme="minorHAnsi"/>
            <w:sz w:val="20"/>
            <w:szCs w:val="20"/>
          </w:rPr>
          <w:t>Compliance Office for Finance and Administration</w:t>
        </w:r>
      </w:hyperlink>
      <w:r w:rsidR="009540BB">
        <w:rPr>
          <w:rFonts w:ascii="MS Reference Sans Serif" w:hAnsi="MS Reference Sans Serif" w:cstheme="minorHAnsi"/>
          <w:sz w:val="20"/>
          <w:szCs w:val="20"/>
        </w:rPr>
        <w:t>.</w:t>
      </w:r>
    </w:p>
    <w:p w:rsidR="00F55469" w:rsidRDefault="00F55469" w:rsidP="00DD74DD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</w:p>
    <w:p w:rsidR="00F55469" w:rsidRPr="00E256F1" w:rsidRDefault="00F55469" w:rsidP="00DD74DD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  <w:r w:rsidRPr="00E256F1">
        <w:rPr>
          <w:rFonts w:ascii="MS Reference Sans Serif" w:hAnsi="MS Reference Sans Serif" w:cstheme="minorHAnsi"/>
          <w:b/>
          <w:sz w:val="20"/>
          <w:szCs w:val="20"/>
        </w:rPr>
        <w:t>DEFINITION</w:t>
      </w:r>
      <w:r w:rsidR="00E256F1">
        <w:rPr>
          <w:rFonts w:ascii="MS Reference Sans Serif" w:hAnsi="MS Reference Sans Serif" w:cstheme="minorHAnsi"/>
          <w:b/>
          <w:sz w:val="20"/>
          <w:szCs w:val="20"/>
        </w:rPr>
        <w:t xml:space="preserve"> &amp; EXAMPLES</w:t>
      </w:r>
    </w:p>
    <w:p w:rsidR="00F55469" w:rsidRPr="00E256F1" w:rsidRDefault="00E256F1" w:rsidP="00DD74DD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  <w:r>
        <w:rPr>
          <w:rFonts w:ascii="MS Reference Sans Serif" w:hAnsi="MS Reference Sans Serif" w:cstheme="minorHAnsi"/>
          <w:i/>
          <w:sz w:val="20"/>
          <w:szCs w:val="20"/>
        </w:rPr>
        <w:t>Covered accounts</w:t>
      </w:r>
      <w:r w:rsidR="00F55469" w:rsidRPr="00E256F1">
        <w:rPr>
          <w:rFonts w:ascii="MS Reference Sans Serif" w:hAnsi="MS Reference Sans Serif" w:cstheme="minorHAnsi"/>
          <w:sz w:val="20"/>
          <w:szCs w:val="20"/>
        </w:rPr>
        <w:t xml:space="preserve"> are accounts offered or maintained by UCA or third-party service providers primarily for personal, family, or household pu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>rposes that allow</w:t>
      </w:r>
      <w:r w:rsidR="00F55469" w:rsidRPr="00E256F1">
        <w:rPr>
          <w:rFonts w:ascii="MS Reference Sans Serif" w:hAnsi="MS Reference Sans Serif" w:cstheme="minorHAnsi"/>
          <w:sz w:val="20"/>
          <w:szCs w:val="20"/>
        </w:rPr>
        <w:t xml:space="preserve"> multiple payments or transactions </w:t>
      </w:r>
      <w:r w:rsidR="00F55469" w:rsidRPr="00E256F1">
        <w:rPr>
          <w:rFonts w:ascii="MS Reference Sans Serif" w:hAnsi="MS Reference Sans Serif" w:cstheme="minorHAnsi"/>
          <w:b/>
          <w:sz w:val="20"/>
          <w:szCs w:val="20"/>
        </w:rPr>
        <w:t xml:space="preserve">or </w:t>
      </w:r>
      <w:r w:rsidR="00F55469" w:rsidRPr="00E256F1">
        <w:rPr>
          <w:rFonts w:ascii="MS Reference Sans Serif" w:hAnsi="MS Reference Sans Serif" w:cstheme="minorHAnsi"/>
          <w:sz w:val="20"/>
          <w:szCs w:val="20"/>
        </w:rPr>
        <w:t>any other account for which there is a reasonably foreseeable risk (operational, compliance, legal, etc.) to customers or UCA from identity theft.</w:t>
      </w:r>
    </w:p>
    <w:p w:rsidR="00F55469" w:rsidRPr="00E256F1" w:rsidRDefault="00F55469" w:rsidP="00DD74DD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</w:p>
    <w:p w:rsidR="00F55469" w:rsidRPr="00F55469" w:rsidRDefault="00F55469" w:rsidP="00F55469">
      <w:pPr>
        <w:pStyle w:val="NormalWeb"/>
        <w:spacing w:before="0" w:beforeAutospacing="0" w:after="0" w:afterAutospacing="0"/>
        <w:ind w:right="-18"/>
        <w:jc w:val="both"/>
        <w:rPr>
          <w:rFonts w:ascii="MS Reference Sans Serif" w:hAnsi="MS Reference Sans Serif" w:cstheme="minorHAnsi"/>
          <w:sz w:val="20"/>
          <w:szCs w:val="20"/>
        </w:rPr>
      </w:pPr>
      <w:r w:rsidRPr="00E256F1">
        <w:rPr>
          <w:rFonts w:ascii="MS Reference Sans Serif" w:hAnsi="MS Reference Sans Serif" w:cstheme="minorHAnsi"/>
          <w:sz w:val="20"/>
          <w:szCs w:val="20"/>
          <w:u w:val="single"/>
        </w:rPr>
        <w:t xml:space="preserve">Examples include student loans, </w:t>
      </w:r>
      <w:r w:rsidR="005034FC">
        <w:rPr>
          <w:rFonts w:ascii="MS Reference Sans Serif" w:hAnsi="MS Reference Sans Serif" w:cstheme="minorHAnsi"/>
          <w:sz w:val="20"/>
          <w:szCs w:val="20"/>
          <w:u w:val="single"/>
        </w:rPr>
        <w:t xml:space="preserve">student accounts, </w:t>
      </w:r>
      <w:r w:rsidRPr="00E256F1">
        <w:rPr>
          <w:rFonts w:ascii="MS Reference Sans Serif" w:hAnsi="MS Reference Sans Serif" w:cstheme="minorHAnsi"/>
          <w:sz w:val="20"/>
          <w:szCs w:val="20"/>
          <w:u w:val="single"/>
        </w:rPr>
        <w:t>payment plans, Bear Cards, and Pay Cards</w:t>
      </w:r>
      <w:r w:rsidRPr="00E256F1">
        <w:rPr>
          <w:rFonts w:ascii="MS Reference Sans Serif" w:hAnsi="MS Reference Sans Serif" w:cstheme="minorHAnsi"/>
          <w:sz w:val="20"/>
          <w:szCs w:val="20"/>
        </w:rPr>
        <w:t xml:space="preserve">.  Please note 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>your area may be subject</w:t>
      </w:r>
      <w:r w:rsidRPr="00E256F1">
        <w:rPr>
          <w:rFonts w:ascii="MS Reference Sans Serif" w:hAnsi="MS Reference Sans Serif" w:cstheme="minorHAnsi"/>
          <w:sz w:val="20"/>
          <w:szCs w:val="20"/>
        </w:rPr>
        <w:t xml:space="preserve"> to the Red Flags Rule 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>if you perform</w:t>
      </w:r>
      <w:r w:rsidRPr="00E256F1">
        <w:rPr>
          <w:rFonts w:ascii="MS Reference Sans Serif" w:hAnsi="MS Reference Sans Serif" w:cstheme="minorHAnsi"/>
          <w:sz w:val="20"/>
          <w:szCs w:val="20"/>
        </w:rPr>
        <w:t xml:space="preserve"> an activity related to 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>a covered account</w:t>
      </w:r>
      <w:r w:rsidR="008F392E" w:rsidRPr="00E256F1">
        <w:rPr>
          <w:rFonts w:ascii="MS Reference Sans Serif" w:hAnsi="MS Reference Sans Serif" w:cstheme="minorHAnsi"/>
          <w:sz w:val="20"/>
          <w:szCs w:val="20"/>
        </w:rPr>
        <w:t>; the rule is not limited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 xml:space="preserve"> t</w:t>
      </w:r>
      <w:r w:rsidRPr="00E256F1">
        <w:rPr>
          <w:rFonts w:ascii="MS Reference Sans Serif" w:hAnsi="MS Reference Sans Serif" w:cstheme="minorHAnsi"/>
          <w:sz w:val="20"/>
          <w:szCs w:val="20"/>
        </w:rPr>
        <w:t xml:space="preserve">o the </w:t>
      </w:r>
      <w:r w:rsidR="00866F60" w:rsidRPr="00E256F1">
        <w:rPr>
          <w:rFonts w:ascii="MS Reference Sans Serif" w:hAnsi="MS Reference Sans Serif" w:cstheme="minorHAnsi"/>
          <w:sz w:val="20"/>
          <w:szCs w:val="20"/>
        </w:rPr>
        <w:t>primary office.</w:t>
      </w:r>
    </w:p>
    <w:p w:rsidR="004E07E0" w:rsidRPr="00DB772F" w:rsidRDefault="004E07E0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sz w:val="20"/>
          <w:szCs w:val="20"/>
        </w:rPr>
      </w:pPr>
    </w:p>
    <w:p w:rsidR="00C27BAD" w:rsidRPr="00DB772F" w:rsidRDefault="00C27BAD" w:rsidP="00C27BAD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MS Reference Sans Serif" w:hAnsi="MS Reference Sans Serif" w:cstheme="minorHAnsi"/>
          <w:sz w:val="20"/>
          <w:szCs w:val="20"/>
          <w:u w:val="double"/>
        </w:rPr>
      </w:pPr>
    </w:p>
    <w:p w:rsidR="00C27BAD" w:rsidRPr="00DB772F" w:rsidRDefault="00DB772F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b/>
          <w:sz w:val="20"/>
          <w:szCs w:val="20"/>
        </w:rPr>
      </w:pPr>
      <w:r w:rsidRPr="00DB772F">
        <w:rPr>
          <w:rFonts w:ascii="MS Reference Sans Serif" w:hAnsi="MS Reference Sans Serif" w:cstheme="minorHAnsi"/>
          <w:b/>
          <w:sz w:val="20"/>
          <w:szCs w:val="20"/>
        </w:rPr>
        <w:t>COLLEGE/ADMINISTRATIVE UNIT:</w:t>
      </w:r>
      <w:r w:rsidR="00222125">
        <w:rPr>
          <w:rFonts w:ascii="MS Reference Sans Serif" w:hAnsi="MS Reference Sans Serif" w:cstheme="minorHAnsi"/>
          <w:b/>
          <w:sz w:val="20"/>
          <w:szCs w:val="20"/>
        </w:rPr>
        <w:t xml:space="preserve"> </w:t>
      </w:r>
      <w:r w:rsidR="00222125" w:rsidRPr="00EE392C">
        <w:rPr>
          <w:rFonts w:ascii="MS Reference Sans Serif" w:hAnsi="MS Reference Sans Serif" w:cstheme="minorHAnsi"/>
          <w:sz w:val="20"/>
          <w:szCs w:val="20"/>
        </w:rPr>
        <w:t>(Enter unit name here)</w:t>
      </w:r>
    </w:p>
    <w:p w:rsidR="00B307FE" w:rsidRPr="00DB772F" w:rsidRDefault="00B307FE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7380"/>
      </w:tblGrid>
      <w:tr w:rsidR="00D55C70" w:rsidRPr="00DB772F" w:rsidTr="004908C3">
        <w:trPr>
          <w:trHeight w:val="288"/>
        </w:trPr>
        <w:tc>
          <w:tcPr>
            <w:tcW w:w="1795" w:type="dxa"/>
          </w:tcPr>
          <w:p w:rsidR="00D55C70" w:rsidRPr="00DB772F" w:rsidRDefault="00D55C70" w:rsidP="004908C3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  <w:r w:rsidRPr="00DB772F">
              <w:rPr>
                <w:rFonts w:ascii="MS Reference Sans Serif" w:hAnsi="MS Reference Sans Serif" w:cstheme="minorHAnsi"/>
                <w:bCs/>
                <w:sz w:val="20"/>
                <w:szCs w:val="20"/>
              </w:rPr>
              <w:t>Contact Name:</w:t>
            </w:r>
          </w:p>
        </w:tc>
        <w:tc>
          <w:tcPr>
            <w:tcW w:w="7380" w:type="dxa"/>
          </w:tcPr>
          <w:p w:rsidR="00D55C70" w:rsidRPr="00EE392C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</w:p>
        </w:tc>
      </w:tr>
      <w:tr w:rsidR="004908C3" w:rsidRPr="00DB772F" w:rsidTr="004908C3">
        <w:trPr>
          <w:trHeight w:val="288"/>
        </w:trPr>
        <w:tc>
          <w:tcPr>
            <w:tcW w:w="1795" w:type="dxa"/>
          </w:tcPr>
          <w:p w:rsidR="004908C3" w:rsidRPr="00DB772F" w:rsidRDefault="004908C3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theme="minorHAnsi"/>
                <w:bCs/>
                <w:sz w:val="20"/>
                <w:szCs w:val="20"/>
              </w:rPr>
              <w:t>Title:</w:t>
            </w:r>
          </w:p>
        </w:tc>
        <w:tc>
          <w:tcPr>
            <w:tcW w:w="7380" w:type="dxa"/>
          </w:tcPr>
          <w:p w:rsidR="004908C3" w:rsidRPr="00DB772F" w:rsidRDefault="004908C3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</w:p>
        </w:tc>
      </w:tr>
      <w:tr w:rsidR="00D55C70" w:rsidRPr="00DB772F" w:rsidTr="004908C3">
        <w:trPr>
          <w:trHeight w:val="288"/>
        </w:trPr>
        <w:tc>
          <w:tcPr>
            <w:tcW w:w="1795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  <w:r w:rsidRPr="00DB772F">
              <w:rPr>
                <w:rFonts w:ascii="MS Reference Sans Serif" w:hAnsi="MS Reference Sans Serif" w:cstheme="minorHAnsi"/>
                <w:bCs/>
                <w:sz w:val="20"/>
                <w:szCs w:val="20"/>
              </w:rPr>
              <w:t>Phone No:</w:t>
            </w:r>
          </w:p>
        </w:tc>
        <w:tc>
          <w:tcPr>
            <w:tcW w:w="7380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</w:p>
        </w:tc>
      </w:tr>
      <w:tr w:rsidR="00D55C70" w:rsidRPr="00DB772F" w:rsidTr="004908C3">
        <w:trPr>
          <w:trHeight w:val="288"/>
        </w:trPr>
        <w:tc>
          <w:tcPr>
            <w:tcW w:w="1795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  <w:r w:rsidRPr="00DB772F">
              <w:rPr>
                <w:rFonts w:ascii="MS Reference Sans Serif" w:hAnsi="MS Reference Sans Serif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380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</w:p>
        </w:tc>
      </w:tr>
      <w:tr w:rsidR="00D55C70" w:rsidRPr="00DB772F" w:rsidTr="004908C3">
        <w:trPr>
          <w:trHeight w:val="288"/>
        </w:trPr>
        <w:tc>
          <w:tcPr>
            <w:tcW w:w="1795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  <w:r w:rsidRPr="00DB772F">
              <w:rPr>
                <w:rFonts w:ascii="MS Reference Sans Serif" w:hAnsi="MS Reference Sans Serif"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7380" w:type="dxa"/>
          </w:tcPr>
          <w:p w:rsidR="00D55C70" w:rsidRPr="00DB772F" w:rsidRDefault="00D55C70" w:rsidP="00D148C6">
            <w:pPr>
              <w:pStyle w:val="NormalWeb"/>
              <w:spacing w:before="0" w:beforeAutospacing="0" w:after="0" w:afterAutospacing="0"/>
              <w:rPr>
                <w:rFonts w:ascii="MS Reference Sans Serif" w:hAnsi="MS Reference Sans Serif" w:cstheme="minorHAnsi"/>
                <w:bCs/>
                <w:sz w:val="20"/>
                <w:szCs w:val="20"/>
              </w:rPr>
            </w:pPr>
          </w:p>
        </w:tc>
      </w:tr>
    </w:tbl>
    <w:p w:rsidR="00D55C70" w:rsidRPr="00DB772F" w:rsidRDefault="00D55C70" w:rsidP="00D148C6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bCs/>
          <w:sz w:val="20"/>
          <w:szCs w:val="20"/>
        </w:rPr>
      </w:pPr>
    </w:p>
    <w:p w:rsidR="002D2EE0" w:rsidRPr="004908C3" w:rsidRDefault="00FE22C5" w:rsidP="0076782B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b/>
          <w:color w:val="5F497A" w:themeColor="accent4" w:themeShade="BF"/>
          <w:sz w:val="22"/>
          <w:szCs w:val="20"/>
        </w:rPr>
      </w:pPr>
      <w:r w:rsidRPr="004908C3">
        <w:rPr>
          <w:rFonts w:ascii="MS Reference Sans Serif" w:hAnsi="MS Reference Sans Serif" w:cstheme="minorHAnsi"/>
          <w:b/>
          <w:color w:val="5F497A" w:themeColor="accent4" w:themeShade="BF"/>
          <w:sz w:val="22"/>
          <w:szCs w:val="20"/>
        </w:rPr>
        <w:t xml:space="preserve">Step </w:t>
      </w:r>
      <w:r w:rsidR="00DD74DD">
        <w:rPr>
          <w:rFonts w:ascii="MS Reference Sans Serif" w:hAnsi="MS Reference Sans Serif" w:cstheme="minorHAnsi"/>
          <w:b/>
          <w:color w:val="5F497A" w:themeColor="accent4" w:themeShade="BF"/>
          <w:sz w:val="22"/>
          <w:szCs w:val="20"/>
        </w:rPr>
        <w:t>1: Identify</w:t>
      </w:r>
      <w:r w:rsidR="00BA2C9F">
        <w:rPr>
          <w:rFonts w:ascii="MS Reference Sans Serif" w:hAnsi="MS Reference Sans Serif" w:cstheme="minorHAnsi"/>
          <w:b/>
          <w:color w:val="5F497A" w:themeColor="accent4" w:themeShade="BF"/>
          <w:sz w:val="22"/>
          <w:szCs w:val="20"/>
        </w:rPr>
        <w:t xml:space="preserve"> </w:t>
      </w:r>
      <w:r w:rsidR="00F82D75" w:rsidRPr="004908C3">
        <w:rPr>
          <w:rFonts w:ascii="MS Reference Sans Serif" w:hAnsi="MS Reference Sans Serif" w:cstheme="minorHAnsi"/>
          <w:b/>
          <w:color w:val="5F497A" w:themeColor="accent4" w:themeShade="BF"/>
          <w:sz w:val="22"/>
          <w:szCs w:val="20"/>
        </w:rPr>
        <w:t>Red Flags</w:t>
      </w:r>
    </w:p>
    <w:p w:rsidR="006E0D17" w:rsidRPr="00DB772F" w:rsidRDefault="006E0D17">
      <w:pPr>
        <w:pStyle w:val="NormalWeb"/>
        <w:spacing w:before="0" w:beforeAutospacing="0" w:after="0" w:afterAutospacing="0"/>
        <w:rPr>
          <w:rFonts w:ascii="MS Reference Sans Serif" w:hAnsi="MS Reference Sans Serif" w:cstheme="minorHAnsi"/>
          <w:sz w:val="20"/>
          <w:szCs w:val="20"/>
        </w:rPr>
      </w:pPr>
    </w:p>
    <w:p w:rsidR="00F82D75" w:rsidRPr="00DB772F" w:rsidRDefault="00F82D75" w:rsidP="0059139C">
      <w:pPr>
        <w:autoSpaceDE w:val="0"/>
        <w:autoSpaceDN w:val="0"/>
        <w:adjustRightInd w:val="0"/>
        <w:spacing w:after="240" w:line="201" w:lineRule="atLeast"/>
        <w:jc w:val="both"/>
        <w:rPr>
          <w:rFonts w:ascii="MS Reference Sans Serif" w:hAnsi="MS Reference Sans Serif" w:cstheme="minorHAnsi"/>
          <w:color w:val="000000"/>
        </w:rPr>
      </w:pPr>
      <w:r w:rsidRPr="00DB772F">
        <w:rPr>
          <w:rFonts w:ascii="MS Reference Sans Serif" w:hAnsi="MS Reference Sans Serif" w:cstheme="minorHAnsi"/>
          <w:color w:val="000000"/>
        </w:rPr>
        <w:t>The first step is to identify the red flags you</w:t>
      </w:r>
      <w:r w:rsidR="00222125">
        <w:rPr>
          <w:rFonts w:ascii="MS Reference Sans Serif" w:hAnsi="MS Reference Sans Serif" w:cstheme="minorHAnsi"/>
          <w:color w:val="000000"/>
        </w:rPr>
        <w:t>r unit</w:t>
      </w:r>
      <w:r w:rsidR="00DF1F5D" w:rsidRPr="00DB772F">
        <w:rPr>
          <w:rFonts w:ascii="MS Reference Sans Serif" w:hAnsi="MS Reference Sans Serif" w:cstheme="minorHAnsi"/>
          <w:color w:val="000000"/>
        </w:rPr>
        <w:t xml:space="preserve"> may </w:t>
      </w:r>
      <w:r w:rsidR="00222125">
        <w:rPr>
          <w:rFonts w:ascii="MS Reference Sans Serif" w:hAnsi="MS Reference Sans Serif" w:cstheme="minorHAnsi"/>
          <w:color w:val="000000"/>
        </w:rPr>
        <w:t>encounter</w:t>
      </w:r>
      <w:r w:rsidRPr="00DB772F">
        <w:rPr>
          <w:rFonts w:ascii="MS Reference Sans Serif" w:hAnsi="MS Reference Sans Serif" w:cstheme="minorHAnsi"/>
          <w:color w:val="000000"/>
        </w:rPr>
        <w:t xml:space="preserve"> that </w:t>
      </w:r>
      <w:r w:rsidR="00222125">
        <w:rPr>
          <w:rFonts w:ascii="MS Reference Sans Serif" w:hAnsi="MS Reference Sans Serif" w:cstheme="minorHAnsi"/>
          <w:color w:val="000000"/>
        </w:rPr>
        <w:t>indicate</w:t>
      </w:r>
      <w:r w:rsidRPr="00DB772F">
        <w:rPr>
          <w:rFonts w:ascii="MS Reference Sans Serif" w:hAnsi="MS Reference Sans Serif" w:cstheme="minorHAnsi"/>
          <w:color w:val="000000"/>
        </w:rPr>
        <w:t xml:space="preserve"> that people </w:t>
      </w:r>
      <w:r w:rsidR="00222125">
        <w:rPr>
          <w:rFonts w:ascii="MS Reference Sans Serif" w:hAnsi="MS Reference Sans Serif" w:cstheme="minorHAnsi"/>
          <w:color w:val="000000"/>
        </w:rPr>
        <w:t>who are trying to obtain or access</w:t>
      </w:r>
      <w:r w:rsidRPr="00DB772F">
        <w:rPr>
          <w:rFonts w:ascii="MS Reference Sans Serif" w:hAnsi="MS Reference Sans Serif" w:cstheme="minorHAnsi"/>
          <w:color w:val="000000"/>
        </w:rPr>
        <w:t xml:space="preserve"> products or services from you aren’t who </w:t>
      </w:r>
      <w:r w:rsidR="00222125">
        <w:rPr>
          <w:rFonts w:ascii="MS Reference Sans Serif" w:hAnsi="MS Reference Sans Serif" w:cstheme="minorHAnsi"/>
          <w:color w:val="000000"/>
        </w:rPr>
        <w:t>they state they are</w:t>
      </w:r>
      <w:r w:rsidR="00C563B0" w:rsidRPr="00DB772F">
        <w:rPr>
          <w:rFonts w:ascii="MS Reference Sans Serif" w:hAnsi="MS Reference Sans Serif" w:cstheme="minorHAnsi"/>
          <w:color w:val="000000"/>
        </w:rPr>
        <w:t xml:space="preserve">. </w:t>
      </w:r>
      <w:r w:rsidR="006E4DEE" w:rsidRPr="00DB772F">
        <w:rPr>
          <w:rFonts w:ascii="MS Reference Sans Serif" w:hAnsi="MS Reference Sans Serif" w:cstheme="minorHAnsi"/>
          <w:color w:val="000000"/>
        </w:rPr>
        <w:t xml:space="preserve"> </w:t>
      </w:r>
      <w:r w:rsidR="00BA2C9F">
        <w:rPr>
          <w:rFonts w:ascii="MS Reference Sans Serif" w:hAnsi="MS Reference Sans Serif" w:cstheme="minorHAnsi"/>
          <w:color w:val="000000"/>
        </w:rPr>
        <w:t>For instance, if you require</w:t>
      </w:r>
      <w:r w:rsidR="00222125">
        <w:rPr>
          <w:rFonts w:ascii="MS Reference Sans Serif" w:hAnsi="MS Reference Sans Serif" w:cstheme="minorHAnsi"/>
          <w:color w:val="000000"/>
        </w:rPr>
        <w:t xml:space="preserve"> photo ID, a </w:t>
      </w:r>
      <w:r w:rsidRPr="00DB772F">
        <w:rPr>
          <w:rFonts w:ascii="MS Reference Sans Serif" w:hAnsi="MS Reference Sans Serif" w:cstheme="minorHAnsi"/>
          <w:color w:val="000000"/>
        </w:rPr>
        <w:t xml:space="preserve">red flag of identity theft is an inconsistency between the </w:t>
      </w:r>
      <w:r w:rsidR="00222125">
        <w:rPr>
          <w:rFonts w:ascii="MS Reference Sans Serif" w:hAnsi="MS Reference Sans Serif" w:cstheme="minorHAnsi"/>
          <w:color w:val="000000"/>
        </w:rPr>
        <w:t>individual’s</w:t>
      </w:r>
      <w:r w:rsidRPr="00DB772F">
        <w:rPr>
          <w:rFonts w:ascii="MS Reference Sans Serif" w:hAnsi="MS Reference Sans Serif" w:cstheme="minorHAnsi"/>
          <w:color w:val="000000"/>
        </w:rPr>
        <w:t xml:space="preserve"> appearance and t</w:t>
      </w:r>
      <w:r w:rsidR="00222125">
        <w:rPr>
          <w:rFonts w:ascii="MS Reference Sans Serif" w:hAnsi="MS Reference Sans Serif" w:cstheme="minorHAnsi"/>
          <w:color w:val="000000"/>
        </w:rPr>
        <w:t>he information on the photo ID</w:t>
      </w:r>
      <w:r w:rsidRPr="00DB772F">
        <w:rPr>
          <w:rFonts w:ascii="MS Reference Sans Serif" w:hAnsi="MS Reference Sans Serif" w:cstheme="minorHAnsi"/>
          <w:color w:val="000000"/>
        </w:rPr>
        <w:t xml:space="preserve">. </w:t>
      </w:r>
      <w:r w:rsidR="006E4DEE" w:rsidRPr="00DB772F">
        <w:rPr>
          <w:rFonts w:ascii="MS Reference Sans Serif" w:hAnsi="MS Reference Sans Serif" w:cstheme="minorHAnsi"/>
          <w:color w:val="000000"/>
        </w:rPr>
        <w:t xml:space="preserve"> </w:t>
      </w:r>
      <w:r w:rsidRPr="00DB772F">
        <w:rPr>
          <w:rFonts w:ascii="MS Reference Sans Serif" w:hAnsi="MS Reference Sans Serif" w:cstheme="minorHAnsi"/>
          <w:color w:val="000000"/>
        </w:rPr>
        <w:t>Somet</w:t>
      </w:r>
      <w:r w:rsidR="005D3054">
        <w:rPr>
          <w:rFonts w:ascii="MS Reference Sans Serif" w:hAnsi="MS Reference Sans Serif" w:cstheme="minorHAnsi"/>
          <w:color w:val="000000"/>
        </w:rPr>
        <w:t>imes, the only red flag may be</w:t>
      </w:r>
      <w:r w:rsidRPr="00DB772F">
        <w:rPr>
          <w:rFonts w:ascii="MS Reference Sans Serif" w:hAnsi="MS Reference Sans Serif" w:cstheme="minorHAnsi"/>
          <w:color w:val="000000"/>
        </w:rPr>
        <w:t xml:space="preserve"> no</w:t>
      </w:r>
      <w:r w:rsidR="00222125">
        <w:rPr>
          <w:rFonts w:ascii="MS Reference Sans Serif" w:hAnsi="MS Reference Sans Serif" w:cstheme="minorHAnsi"/>
          <w:color w:val="000000"/>
        </w:rPr>
        <w:t>tice from another source that</w:t>
      </w:r>
      <w:r w:rsidRPr="00DB772F">
        <w:rPr>
          <w:rFonts w:ascii="MS Reference Sans Serif" w:hAnsi="MS Reference Sans Serif" w:cstheme="minorHAnsi"/>
          <w:color w:val="000000"/>
        </w:rPr>
        <w:t xml:space="preserve"> identity theft has </w:t>
      </w:r>
      <w:r w:rsidR="00222125">
        <w:rPr>
          <w:rFonts w:ascii="MS Reference Sans Serif" w:hAnsi="MS Reference Sans Serif" w:cstheme="minorHAnsi"/>
          <w:color w:val="000000"/>
        </w:rPr>
        <w:t xml:space="preserve">been attempted or has </w:t>
      </w:r>
      <w:r w:rsidRPr="00DB772F">
        <w:rPr>
          <w:rFonts w:ascii="MS Reference Sans Serif" w:hAnsi="MS Reference Sans Serif" w:cstheme="minorHAnsi"/>
          <w:color w:val="000000"/>
        </w:rPr>
        <w:t xml:space="preserve">occurred. </w:t>
      </w:r>
      <w:r w:rsidR="006E4DEE" w:rsidRPr="00DB772F">
        <w:rPr>
          <w:rFonts w:ascii="MS Reference Sans Serif" w:hAnsi="MS Reference Sans Serif" w:cstheme="minorHAnsi"/>
          <w:color w:val="000000"/>
        </w:rPr>
        <w:t xml:space="preserve"> </w:t>
      </w:r>
      <w:r w:rsidRPr="00DB772F">
        <w:rPr>
          <w:rFonts w:ascii="MS Reference Sans Serif" w:hAnsi="MS Reference Sans Serif" w:cstheme="minorHAnsi"/>
          <w:color w:val="000000"/>
        </w:rPr>
        <w:t>Since t</w:t>
      </w:r>
      <w:r w:rsidR="00BA2C9F">
        <w:rPr>
          <w:rFonts w:ascii="MS Reference Sans Serif" w:hAnsi="MS Reference Sans Serif" w:cstheme="minorHAnsi"/>
          <w:color w:val="000000"/>
        </w:rPr>
        <w:t xml:space="preserve">hat red flag applies to any unit, </w:t>
      </w:r>
      <w:r w:rsidR="00EE392C">
        <w:rPr>
          <w:rFonts w:ascii="MS Reference Sans Serif" w:hAnsi="MS Reference Sans Serif" w:cstheme="minorHAnsi"/>
          <w:color w:val="000000"/>
        </w:rPr>
        <w:t>it is listed below</w:t>
      </w:r>
      <w:r w:rsidRPr="00DB772F">
        <w:rPr>
          <w:rFonts w:ascii="MS Reference Sans Serif" w:hAnsi="MS Reference Sans Serif" w:cstheme="minorHAnsi"/>
          <w:color w:val="000000"/>
        </w:rPr>
        <w:t>.</w:t>
      </w:r>
    </w:p>
    <w:p w:rsidR="00F82D75" w:rsidRPr="00DB772F" w:rsidRDefault="00222125" w:rsidP="00F82D75">
      <w:pPr>
        <w:autoSpaceDE w:val="0"/>
        <w:autoSpaceDN w:val="0"/>
        <w:adjustRightInd w:val="0"/>
        <w:spacing w:after="240" w:line="241" w:lineRule="atLeast"/>
        <w:rPr>
          <w:rFonts w:ascii="MS Reference Sans Serif" w:hAnsi="MS Reference Sans Serif" w:cstheme="minorHAnsi"/>
          <w:color w:val="000000"/>
        </w:rPr>
      </w:pPr>
      <w:r>
        <w:rPr>
          <w:rFonts w:ascii="MS Reference Sans Serif" w:hAnsi="MS Reference Sans Serif" w:cstheme="minorHAnsi"/>
          <w:b/>
          <w:bCs/>
          <w:color w:val="000000"/>
        </w:rPr>
        <w:t>Below</w:t>
      </w:r>
      <w:r w:rsidR="00F82D75" w:rsidRPr="00DB772F">
        <w:rPr>
          <w:rFonts w:ascii="MS Reference Sans Serif" w:hAnsi="MS Reference Sans Serif" w:cstheme="minorHAnsi"/>
          <w:b/>
          <w:bCs/>
          <w:color w:val="000000"/>
        </w:rPr>
        <w:t xml:space="preserve"> are the </w:t>
      </w:r>
      <w:r w:rsidR="00BA2C9F">
        <w:rPr>
          <w:rFonts w:ascii="MS Reference Sans Serif" w:hAnsi="MS Reference Sans Serif" w:cstheme="minorHAnsi"/>
          <w:b/>
          <w:bCs/>
          <w:color w:val="000000"/>
        </w:rPr>
        <w:t xml:space="preserve">relevant </w:t>
      </w:r>
      <w:r w:rsidR="00F82D75" w:rsidRPr="00DB772F">
        <w:rPr>
          <w:rFonts w:ascii="MS Reference Sans Serif" w:hAnsi="MS Reference Sans Serif" w:cstheme="minorHAnsi"/>
          <w:b/>
          <w:bCs/>
          <w:color w:val="000000"/>
        </w:rPr>
        <w:t>red flags we have identified:</w:t>
      </w:r>
      <w:r w:rsidR="00F82D75" w:rsidRPr="00DB772F">
        <w:rPr>
          <w:rFonts w:ascii="MS Reference Sans Serif" w:hAnsi="MS Reference Sans Serif" w:cstheme="minorHAnsi"/>
          <w:color w:val="000000"/>
        </w:rPr>
        <w:t xml:space="preserve"> (add lines as needed)</w:t>
      </w:r>
    </w:p>
    <w:p w:rsidR="00F82D75" w:rsidRPr="00222125" w:rsidRDefault="00E35BCE" w:rsidP="00E35BC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241" w:lineRule="atLeast"/>
        <w:ind w:left="360"/>
        <w:rPr>
          <w:rFonts w:ascii="MS Reference Sans Serif" w:hAnsi="MS Reference Sans Serif" w:cstheme="minorHAnsi"/>
          <w:i/>
        </w:rPr>
      </w:pPr>
      <w:r w:rsidRPr="00222125">
        <w:rPr>
          <w:rFonts w:ascii="MS Reference Sans Serif" w:hAnsi="MS Reference Sans Serif" w:cstheme="minorHAnsi"/>
          <w:i/>
          <w:color w:val="000000"/>
        </w:rPr>
        <w:t xml:space="preserve">Example: </w:t>
      </w:r>
      <w:r w:rsidR="00FD0108" w:rsidRPr="00222125">
        <w:rPr>
          <w:rFonts w:ascii="MS Reference Sans Serif" w:hAnsi="MS Reference Sans Serif" w:cstheme="minorHAnsi"/>
          <w:i/>
          <w:color w:val="000000"/>
        </w:rPr>
        <w:t>Susp</w:t>
      </w:r>
      <w:r w:rsidR="00255976" w:rsidRPr="00222125">
        <w:rPr>
          <w:rFonts w:ascii="MS Reference Sans Serif" w:hAnsi="MS Reference Sans Serif" w:cstheme="minorHAnsi"/>
          <w:i/>
          <w:color w:val="000000"/>
        </w:rPr>
        <w:t>icious documentation</w:t>
      </w:r>
      <w:r w:rsidR="00222125" w:rsidRPr="00222125">
        <w:rPr>
          <w:rFonts w:ascii="MS Reference Sans Serif" w:hAnsi="MS Reference Sans Serif" w:cstheme="minorHAnsi"/>
          <w:i/>
          <w:color w:val="000000"/>
        </w:rPr>
        <w:t xml:space="preserve"> (e.g., a photo ID is presented that does not resemble the individual)</w:t>
      </w:r>
      <w:r w:rsidR="00FD0108" w:rsidRPr="00222125">
        <w:rPr>
          <w:rFonts w:ascii="MS Reference Sans Serif" w:hAnsi="MS Reference Sans Serif" w:cstheme="minorHAnsi"/>
          <w:i/>
          <w:color w:val="000000"/>
        </w:rPr>
        <w:t>.</w:t>
      </w:r>
    </w:p>
    <w:p w:rsidR="00E35BCE" w:rsidRPr="00222125" w:rsidRDefault="006E4DEE" w:rsidP="00E35BC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241" w:lineRule="atLeast"/>
        <w:ind w:left="360"/>
        <w:rPr>
          <w:rFonts w:ascii="MS Reference Sans Serif" w:hAnsi="MS Reference Sans Serif" w:cstheme="minorHAnsi"/>
          <w:i/>
        </w:rPr>
      </w:pPr>
      <w:r w:rsidRPr="00222125">
        <w:rPr>
          <w:rFonts w:ascii="MS Reference Sans Serif" w:hAnsi="MS Reference Sans Serif" w:cstheme="minorHAnsi"/>
          <w:i/>
          <w:color w:val="000000"/>
        </w:rPr>
        <w:t>Example: Notice from a customer, a victim of identity theft, a law enforcement agency, or someone else that an account has been opened or used fraudulently.</w:t>
      </w:r>
    </w:p>
    <w:p w:rsidR="00E35BCE" w:rsidRPr="00EC1473" w:rsidRDefault="00E35BCE" w:rsidP="00EC147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241" w:lineRule="atLeast"/>
        <w:ind w:left="360"/>
        <w:rPr>
          <w:rFonts w:ascii="MS Reference Sans Serif" w:hAnsi="MS Reference Sans Serif" w:cstheme="minorHAnsi"/>
        </w:rPr>
      </w:pPr>
      <w:r w:rsidRPr="00DB772F">
        <w:rPr>
          <w:rFonts w:ascii="MS Reference Sans Serif" w:hAnsi="MS Reference Sans Serif" w:cstheme="minorHAnsi"/>
          <w:color w:val="000000"/>
        </w:rPr>
        <w:t xml:space="preserve"> </w:t>
      </w:r>
    </w:p>
    <w:p w:rsidR="006E0D17" w:rsidRPr="004908C3" w:rsidRDefault="00FE22C5" w:rsidP="0076782B">
      <w:pPr>
        <w:pStyle w:val="BodyText"/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</w:pPr>
      <w:r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Step </w:t>
      </w:r>
      <w:r w:rsidR="00F82D75"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2:</w:t>
      </w:r>
      <w:r w:rsidR="00E35BCE"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 </w:t>
      </w:r>
      <w:r w:rsidR="00DD74DD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Detect</w:t>
      </w:r>
      <w:r w:rsidR="00F82D75"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 Red Flags</w:t>
      </w:r>
    </w:p>
    <w:p w:rsidR="00F82D75" w:rsidRPr="00DB772F" w:rsidRDefault="00E35BCE" w:rsidP="00F55469">
      <w:pPr>
        <w:pStyle w:val="Pa6"/>
        <w:spacing w:after="240"/>
        <w:ind w:right="162"/>
        <w:jc w:val="both"/>
        <w:rPr>
          <w:rFonts w:ascii="MS Reference Sans Serif" w:hAnsi="MS Reference Sans Serif" w:cstheme="minorHAnsi"/>
          <w:color w:val="000000"/>
          <w:sz w:val="20"/>
          <w:szCs w:val="20"/>
        </w:rPr>
      </w:pP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br/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The </w:t>
      </w:r>
      <w:r w:rsidR="00DD74DD">
        <w:rPr>
          <w:rFonts w:ascii="MS Reference Sans Serif" w:hAnsi="MS Reference Sans Serif" w:cstheme="minorHAnsi"/>
          <w:color w:val="000000"/>
          <w:sz w:val="20"/>
          <w:szCs w:val="20"/>
        </w:rPr>
        <w:t>next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step is to explain how your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unit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will detect the red flags you’ve identified.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For example, perhaps in Step 1 you identified false IDs as a red flag.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To detect a false ID, </w:t>
      </w:r>
      <w:r w:rsidR="00BA2C9F">
        <w:rPr>
          <w:rFonts w:ascii="MS Reference Sans Serif" w:hAnsi="MS Reference Sans Serif" w:cstheme="minorHAnsi"/>
          <w:color w:val="000000"/>
          <w:sz w:val="20"/>
          <w:szCs w:val="20"/>
        </w:rPr>
        <w:t>you may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consider training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staff to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carefully review the ID to determine whether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the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individual’s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appearance is consistent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with the picture on the ID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What if somebody notifies you that an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lastRenderedPageBreak/>
        <w:t xml:space="preserve">account has been opened or used fraudulently?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To make sure those notices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are properly recorded and followed up as necessary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, you may decide to require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staff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to log that in a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central location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 xml:space="preserve">(see </w:t>
      </w:r>
      <w:r w:rsidR="009A70CB">
        <w:rPr>
          <w:rFonts w:ascii="MS Reference Sans Serif" w:hAnsi="MS Reference Sans Serif" w:cstheme="minorHAnsi"/>
          <w:b/>
          <w:color w:val="000000"/>
          <w:sz w:val="20"/>
          <w:szCs w:val="20"/>
        </w:rPr>
        <w:t xml:space="preserve">Red Flags Rule Incident </w:t>
      </w:r>
      <w:r w:rsidR="009A70CB" w:rsidRPr="009A70CB">
        <w:rPr>
          <w:rFonts w:ascii="MS Reference Sans Serif" w:hAnsi="MS Reference Sans Serif" w:cstheme="minorHAnsi"/>
          <w:b/>
          <w:color w:val="000000"/>
          <w:sz w:val="20"/>
          <w:szCs w:val="20"/>
        </w:rPr>
        <w:t>Log</w:t>
      </w:r>
      <w:r w:rsidR="009A70CB">
        <w:rPr>
          <w:rFonts w:ascii="MS Reference Sans Serif" w:hAnsi="MS Reference Sans Serif" w:cstheme="minorHAnsi"/>
          <w:color w:val="000000"/>
          <w:sz w:val="20"/>
          <w:szCs w:val="20"/>
        </w:rPr>
        <w:t xml:space="preserve">) </w:t>
      </w:r>
      <w:r w:rsidR="00F82D75" w:rsidRPr="009A70CB">
        <w:rPr>
          <w:rFonts w:ascii="MS Reference Sans Serif" w:hAnsi="MS Reference Sans Serif" w:cstheme="minorHAnsi"/>
          <w:color w:val="000000"/>
          <w:sz w:val="20"/>
          <w:szCs w:val="20"/>
        </w:rPr>
        <w:t>or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to 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notify a supervisor and/or the Program Administrator or designee(s).</w:t>
      </w:r>
    </w:p>
    <w:p w:rsidR="00733278" w:rsidRPr="00DB772F" w:rsidRDefault="00222125" w:rsidP="0059139C">
      <w:pPr>
        <w:pStyle w:val="BodyText"/>
        <w:jc w:val="both"/>
        <w:rPr>
          <w:rFonts w:ascii="MS Reference Sans Serif" w:hAnsi="MS Reference Sans Serif" w:cstheme="minorHAnsi"/>
          <w:b w:val="0"/>
          <w:bCs w:val="0"/>
          <w:color w:val="000000"/>
          <w:sz w:val="20"/>
          <w:szCs w:val="20"/>
        </w:rPr>
      </w:pPr>
      <w:r>
        <w:rPr>
          <w:rFonts w:ascii="MS Reference Sans Serif" w:hAnsi="MS Reference Sans Serif" w:cstheme="minorHAnsi"/>
          <w:bCs w:val="0"/>
          <w:color w:val="000000"/>
          <w:sz w:val="20"/>
          <w:szCs w:val="20"/>
        </w:rPr>
        <w:t>Below</w:t>
      </w:r>
      <w:r w:rsidR="000A65A3" w:rsidRPr="00DB772F">
        <w:rPr>
          <w:rFonts w:ascii="MS Reference Sans Serif" w:hAnsi="MS Reference Sans Serif" w:cstheme="minorHAnsi"/>
          <w:bCs w:val="0"/>
          <w:color w:val="000000"/>
          <w:sz w:val="20"/>
          <w:szCs w:val="20"/>
        </w:rPr>
        <w:t xml:space="preserve"> is how we </w:t>
      </w:r>
      <w:r w:rsidR="00F82D75" w:rsidRPr="00DB772F">
        <w:rPr>
          <w:rFonts w:ascii="MS Reference Sans Serif" w:hAnsi="MS Reference Sans Serif" w:cstheme="minorHAnsi"/>
          <w:bCs w:val="0"/>
          <w:color w:val="000000"/>
          <w:sz w:val="20"/>
          <w:szCs w:val="20"/>
        </w:rPr>
        <w:t xml:space="preserve">detect </w:t>
      </w:r>
      <w:r>
        <w:rPr>
          <w:rFonts w:ascii="MS Reference Sans Serif" w:hAnsi="MS Reference Sans Serif" w:cstheme="minorHAnsi"/>
          <w:bCs w:val="0"/>
          <w:color w:val="000000"/>
          <w:sz w:val="20"/>
          <w:szCs w:val="20"/>
        </w:rPr>
        <w:t>the red flags our unit has identified</w:t>
      </w:r>
      <w:r w:rsidR="00F82D75" w:rsidRPr="00DB772F">
        <w:rPr>
          <w:rFonts w:ascii="MS Reference Sans Serif" w:hAnsi="MS Reference Sans Serif" w:cstheme="minorHAnsi"/>
          <w:bCs w:val="0"/>
          <w:color w:val="000000"/>
          <w:sz w:val="20"/>
          <w:szCs w:val="20"/>
        </w:rPr>
        <w:t xml:space="preserve">: </w:t>
      </w:r>
      <w:r w:rsidR="00F82D75" w:rsidRPr="00DB772F">
        <w:rPr>
          <w:rFonts w:ascii="MS Reference Sans Serif" w:hAnsi="MS Reference Sans Serif" w:cstheme="minorHAnsi"/>
          <w:b w:val="0"/>
          <w:bCs w:val="0"/>
          <w:color w:val="000000"/>
          <w:sz w:val="20"/>
          <w:szCs w:val="20"/>
        </w:rPr>
        <w:t>(add lines as needed)</w:t>
      </w:r>
    </w:p>
    <w:p w:rsidR="00032005" w:rsidRPr="00DB772F" w:rsidRDefault="00032005" w:rsidP="0059139C">
      <w:pPr>
        <w:pStyle w:val="BodyText"/>
        <w:jc w:val="both"/>
        <w:rPr>
          <w:rFonts w:ascii="MS Reference Sans Serif" w:hAnsi="MS Reference Sans Serif" w:cstheme="minorHAnsi"/>
          <w:bCs w:val="0"/>
          <w:color w:val="000000"/>
          <w:sz w:val="20"/>
          <w:szCs w:val="20"/>
        </w:rPr>
      </w:pPr>
    </w:p>
    <w:p w:rsidR="00F82D75" w:rsidRPr="00222125" w:rsidRDefault="002B3748" w:rsidP="000121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1" w:lineRule="atLeast"/>
        <w:rPr>
          <w:rFonts w:ascii="MS Reference Sans Serif" w:hAnsi="MS Reference Sans Serif" w:cstheme="minorHAnsi"/>
          <w:i/>
          <w:color w:val="000000"/>
        </w:rPr>
      </w:pPr>
      <w:r w:rsidRPr="00222125">
        <w:rPr>
          <w:rFonts w:ascii="MS Reference Sans Serif" w:hAnsi="MS Reference Sans Serif" w:cstheme="minorHAnsi"/>
          <w:i/>
          <w:color w:val="000000"/>
        </w:rPr>
        <w:t xml:space="preserve">Example: </w:t>
      </w:r>
      <w:r w:rsidR="00EE392C">
        <w:rPr>
          <w:rFonts w:ascii="MS Reference Sans Serif" w:hAnsi="MS Reference Sans Serif" w:cstheme="minorHAnsi"/>
          <w:i/>
          <w:color w:val="000000"/>
        </w:rPr>
        <w:t>Staff require identification (suc</w:t>
      </w:r>
      <w:r w:rsidR="00866F60">
        <w:rPr>
          <w:rFonts w:ascii="MS Reference Sans Serif" w:hAnsi="MS Reference Sans Serif" w:cstheme="minorHAnsi"/>
          <w:i/>
          <w:color w:val="000000"/>
        </w:rPr>
        <w:t>h as UCA ID) to verify identity.</w:t>
      </w:r>
    </w:p>
    <w:p w:rsidR="002B3748" w:rsidRPr="00DB772F" w:rsidRDefault="002B3748" w:rsidP="000121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1" w:lineRule="atLeast"/>
        <w:rPr>
          <w:rFonts w:ascii="MS Reference Sans Serif" w:hAnsi="MS Reference Sans Serif" w:cstheme="minorHAnsi"/>
          <w:color w:val="000000"/>
        </w:rPr>
      </w:pPr>
    </w:p>
    <w:p w:rsidR="0096433F" w:rsidRPr="00EC1473" w:rsidRDefault="0096433F" w:rsidP="00EC147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1" w:lineRule="atLeast"/>
        <w:rPr>
          <w:rFonts w:ascii="MS Reference Sans Serif" w:hAnsi="MS Reference Sans Serif" w:cstheme="minorHAnsi"/>
          <w:color w:val="000000"/>
        </w:rPr>
      </w:pPr>
    </w:p>
    <w:p w:rsidR="006E0D17" w:rsidRPr="004908C3" w:rsidRDefault="00FE22C5" w:rsidP="0076782B">
      <w:pPr>
        <w:pStyle w:val="BodyText"/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</w:pPr>
      <w:r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Step </w:t>
      </w:r>
      <w:r w:rsidR="00DD74DD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3: Respond</w:t>
      </w:r>
      <w:r w:rsidR="00F82D75" w:rsidRPr="004908C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 to Red Flags</w:t>
      </w:r>
    </w:p>
    <w:p w:rsidR="00F82D75" w:rsidRPr="00DB772F" w:rsidRDefault="00E35BCE" w:rsidP="0059139C">
      <w:pPr>
        <w:pStyle w:val="Pa6"/>
        <w:spacing w:after="240"/>
        <w:jc w:val="both"/>
        <w:rPr>
          <w:rFonts w:ascii="MS Reference Sans Serif" w:hAnsi="MS Reference Sans Serif" w:cstheme="minorHAnsi"/>
          <w:color w:val="000000"/>
          <w:sz w:val="20"/>
          <w:szCs w:val="20"/>
        </w:rPr>
      </w:pP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br/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The third step is to decide how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>you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will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respond to any red flags that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>arise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For example,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>y</w:t>
      </w:r>
      <w:r w:rsidR="00222125">
        <w:rPr>
          <w:rFonts w:ascii="MS Reference Sans Serif" w:hAnsi="MS Reference Sans Serif" w:cstheme="minorHAnsi"/>
          <w:color w:val="000000"/>
          <w:sz w:val="20"/>
          <w:szCs w:val="20"/>
        </w:rPr>
        <w:t>ou have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identi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fied the risk of false IDs as an indication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>of identity theft and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noted that you will train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staff to look for inconsi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stencies in identification. An employee has checked the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ID and detected an inconsistency.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What happens next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?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EE392C">
        <w:rPr>
          <w:rFonts w:ascii="MS Reference Sans Serif" w:hAnsi="MS Reference Sans Serif" w:cstheme="minorHAnsi"/>
          <w:color w:val="000000"/>
          <w:sz w:val="20"/>
          <w:szCs w:val="20"/>
        </w:rPr>
        <w:t>It may be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asking for another form of 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ID</w:t>
      </w:r>
      <w:r w:rsidR="00EE392C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– or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not providing any </w:t>
      </w:r>
      <w:r w:rsidR="005034FC">
        <w:rPr>
          <w:rFonts w:ascii="MS Reference Sans Serif" w:hAnsi="MS Reference Sans Serif" w:cstheme="minorHAnsi"/>
          <w:color w:val="000000"/>
          <w:sz w:val="20"/>
          <w:szCs w:val="20"/>
        </w:rPr>
        <w:t xml:space="preserve">information,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>products</w:t>
      </w:r>
      <w:r w:rsidR="005034FC">
        <w:rPr>
          <w:rFonts w:ascii="MS Reference Sans Serif" w:hAnsi="MS Reference Sans Serif" w:cstheme="minorHAnsi"/>
          <w:color w:val="000000"/>
          <w:sz w:val="20"/>
          <w:szCs w:val="20"/>
        </w:rPr>
        <w:t>,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or services until the inconsistency has been resolved.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>Or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,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EE392C">
        <w:rPr>
          <w:rFonts w:ascii="MS Reference Sans Serif" w:hAnsi="MS Reference Sans Serif" w:cstheme="minorHAnsi"/>
          <w:color w:val="000000"/>
          <w:sz w:val="20"/>
          <w:szCs w:val="20"/>
        </w:rPr>
        <w:t>if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you’re try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ing to collect on a past due student account, and the individual you contact 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 xml:space="preserve">tells you 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her</w:t>
      </w:r>
      <w:r w:rsidR="00A43F5E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identity was stolen and she has not received any correspondence in quite some time because her address was changed without consent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Although it will depend on the circumstances, consider how you </w:t>
      </w:r>
      <w:r w:rsidR="00EE392C">
        <w:rPr>
          <w:rFonts w:ascii="MS Reference Sans Serif" w:hAnsi="MS Reference Sans Serif" w:cstheme="minorHAnsi"/>
          <w:color w:val="000000"/>
          <w:sz w:val="20"/>
          <w:szCs w:val="20"/>
        </w:rPr>
        <w:t>will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respond. </w:t>
      </w:r>
      <w:r w:rsidR="00DF1F5D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t>For exam</w:t>
      </w:r>
      <w:r w:rsidR="00F82D75" w:rsidRPr="00DB772F">
        <w:rPr>
          <w:rFonts w:ascii="MS Reference Sans Serif" w:hAnsi="MS Reference Sans Serif" w:cstheme="minorHAnsi"/>
          <w:color w:val="000000"/>
          <w:sz w:val="20"/>
          <w:szCs w:val="20"/>
        </w:rPr>
        <w:softHyphen/>
        <w:t xml:space="preserve">ple, you could ask for proof that an identity theft 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report has been filed with the appropriate law enforcement and</w:t>
      </w:r>
      <w:r w:rsidR="005034FC">
        <w:rPr>
          <w:rFonts w:ascii="MS Reference Sans Serif" w:hAnsi="MS Reference Sans Serif" w:cstheme="minorHAnsi"/>
          <w:color w:val="000000"/>
          <w:sz w:val="20"/>
          <w:szCs w:val="20"/>
        </w:rPr>
        <w:t>/or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government agencies (such as the Federal Trade Commission).</w:t>
      </w:r>
    </w:p>
    <w:p w:rsidR="00F82D75" w:rsidRPr="00DB772F" w:rsidRDefault="000A65A3" w:rsidP="0059139C">
      <w:pPr>
        <w:pStyle w:val="BodyText"/>
        <w:jc w:val="both"/>
        <w:rPr>
          <w:rStyle w:val="A1"/>
          <w:rFonts w:ascii="MS Reference Sans Serif" w:hAnsi="MS Reference Sans Serif" w:cstheme="minorHAnsi"/>
          <w:sz w:val="20"/>
          <w:szCs w:val="20"/>
        </w:rPr>
      </w:pPr>
      <w:r w:rsidRPr="00DB772F">
        <w:rPr>
          <w:rStyle w:val="A1"/>
          <w:rFonts w:ascii="MS Reference Sans Serif" w:hAnsi="MS Reference Sans Serif" w:cstheme="minorHAnsi"/>
          <w:b/>
          <w:sz w:val="20"/>
          <w:szCs w:val="20"/>
        </w:rPr>
        <w:t xml:space="preserve">Here is </w:t>
      </w:r>
      <w:r w:rsidR="00EC1473">
        <w:rPr>
          <w:rStyle w:val="A1"/>
          <w:rFonts w:ascii="MS Reference Sans Serif" w:hAnsi="MS Reference Sans Serif" w:cstheme="minorHAnsi"/>
          <w:b/>
          <w:sz w:val="20"/>
          <w:szCs w:val="20"/>
        </w:rPr>
        <w:t>how our unit responds</w:t>
      </w:r>
      <w:r w:rsidR="00F82D75" w:rsidRPr="00DB772F">
        <w:rPr>
          <w:rStyle w:val="A1"/>
          <w:rFonts w:ascii="MS Reference Sans Serif" w:hAnsi="MS Reference Sans Serif" w:cstheme="minorHAnsi"/>
          <w:b/>
          <w:sz w:val="20"/>
          <w:szCs w:val="20"/>
        </w:rPr>
        <w:t xml:space="preserve"> to the red flags identified:</w:t>
      </w:r>
      <w:r w:rsidR="00F82D75" w:rsidRPr="00DB772F">
        <w:rPr>
          <w:rStyle w:val="A1"/>
          <w:rFonts w:ascii="MS Reference Sans Serif" w:hAnsi="MS Reference Sans Serif" w:cstheme="minorHAnsi"/>
          <w:sz w:val="20"/>
          <w:szCs w:val="20"/>
        </w:rPr>
        <w:t xml:space="preserve"> (add lines as needed)</w:t>
      </w:r>
    </w:p>
    <w:p w:rsidR="00032005" w:rsidRPr="00DB772F" w:rsidRDefault="00032005" w:rsidP="0059139C">
      <w:pPr>
        <w:pStyle w:val="BodyText"/>
        <w:jc w:val="both"/>
        <w:rPr>
          <w:rStyle w:val="A1"/>
          <w:rFonts w:ascii="MS Reference Sans Serif" w:hAnsi="MS Reference Sans Serif" w:cstheme="minorHAnsi"/>
          <w:sz w:val="20"/>
          <w:szCs w:val="20"/>
        </w:rPr>
      </w:pPr>
    </w:p>
    <w:p w:rsidR="00F82D75" w:rsidRPr="00EC1473" w:rsidRDefault="002F7A2A" w:rsidP="00C37529">
      <w:pPr>
        <w:pStyle w:val="BodyText"/>
        <w:numPr>
          <w:ilvl w:val="0"/>
          <w:numId w:val="29"/>
        </w:numPr>
        <w:rPr>
          <w:rStyle w:val="A1"/>
          <w:rFonts w:ascii="MS Reference Sans Serif" w:hAnsi="MS Reference Sans Serif" w:cstheme="minorHAnsi"/>
          <w:i/>
          <w:sz w:val="20"/>
          <w:szCs w:val="20"/>
        </w:rPr>
      </w:pPr>
      <w:r w:rsidRPr="00EC1473">
        <w:rPr>
          <w:rStyle w:val="A1"/>
          <w:rFonts w:ascii="MS Reference Sans Serif" w:hAnsi="MS Reference Sans Serif" w:cstheme="minorHAnsi"/>
          <w:i/>
          <w:sz w:val="20"/>
          <w:szCs w:val="20"/>
        </w:rPr>
        <w:t xml:space="preserve">Example: If identification </w:t>
      </w:r>
      <w:r w:rsidR="00BA2C9F">
        <w:rPr>
          <w:rStyle w:val="A1"/>
          <w:rFonts w:ascii="MS Reference Sans Serif" w:hAnsi="MS Reference Sans Serif" w:cstheme="minorHAnsi"/>
          <w:i/>
          <w:sz w:val="20"/>
          <w:szCs w:val="20"/>
        </w:rPr>
        <w:t>presented</w:t>
      </w:r>
      <w:r w:rsidR="00FD0108" w:rsidRPr="00EC1473">
        <w:rPr>
          <w:rStyle w:val="A1"/>
          <w:rFonts w:ascii="MS Reference Sans Serif" w:hAnsi="MS Reference Sans Serif" w:cstheme="minorHAnsi"/>
          <w:i/>
          <w:sz w:val="20"/>
          <w:szCs w:val="20"/>
        </w:rPr>
        <w:t xml:space="preserve"> </w:t>
      </w:r>
      <w:r w:rsidRPr="00EC1473">
        <w:rPr>
          <w:rStyle w:val="A1"/>
          <w:rFonts w:ascii="MS Reference Sans Serif" w:hAnsi="MS Reference Sans Serif" w:cstheme="minorHAnsi"/>
          <w:i/>
          <w:sz w:val="20"/>
          <w:szCs w:val="20"/>
        </w:rPr>
        <w:t>does not match, we do not release any information.</w:t>
      </w:r>
    </w:p>
    <w:p w:rsidR="00F82D75" w:rsidRPr="00DB772F" w:rsidRDefault="00EE392C" w:rsidP="00C37529">
      <w:pPr>
        <w:pStyle w:val="BodyText"/>
        <w:numPr>
          <w:ilvl w:val="0"/>
          <w:numId w:val="29"/>
        </w:numPr>
        <w:rPr>
          <w:rStyle w:val="A1"/>
          <w:rFonts w:ascii="MS Reference Sans Serif" w:hAnsi="MS Reference Sans Serif" w:cstheme="minorHAnsi"/>
          <w:sz w:val="20"/>
          <w:szCs w:val="20"/>
        </w:rPr>
      </w:pPr>
      <w:r>
        <w:rPr>
          <w:rStyle w:val="A1"/>
          <w:rFonts w:ascii="MS Reference Sans Serif" w:hAnsi="MS Reference Sans Serif" w:cstheme="minorHAnsi"/>
          <w:i/>
          <w:sz w:val="20"/>
          <w:szCs w:val="20"/>
        </w:rPr>
        <w:t>Example: If we are notified by a student he/she has been a victim of identity theft, we record it in the Red Flags Rule Incident Log, notify other offices as appropriate, and make a note on the student’s account.</w:t>
      </w:r>
    </w:p>
    <w:p w:rsidR="00F82D75" w:rsidRPr="00EC1473" w:rsidRDefault="00F82D75" w:rsidP="00EC1473">
      <w:pPr>
        <w:pStyle w:val="BodyText"/>
        <w:numPr>
          <w:ilvl w:val="0"/>
          <w:numId w:val="29"/>
        </w:numPr>
        <w:rPr>
          <w:rStyle w:val="A1"/>
          <w:rFonts w:ascii="MS Reference Sans Serif" w:hAnsi="MS Reference Sans Serif" w:cstheme="minorHAnsi"/>
          <w:sz w:val="20"/>
          <w:szCs w:val="20"/>
        </w:rPr>
      </w:pPr>
    </w:p>
    <w:p w:rsidR="0076782B" w:rsidRPr="00EC1473" w:rsidRDefault="0076782B" w:rsidP="00EC1473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5034FC" w:rsidRDefault="00EC1473" w:rsidP="005034FC">
      <w:pPr>
        <w:pStyle w:val="BodyText"/>
        <w:rPr>
          <w:rFonts w:ascii="MS Reference Sans Serif" w:hAnsi="MS Reference Sans Serif" w:cstheme="minorHAnsi"/>
          <w:b w:val="0"/>
          <w:sz w:val="22"/>
          <w:szCs w:val="20"/>
        </w:rPr>
      </w:pPr>
      <w:r w:rsidRPr="00EC147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 xml:space="preserve">Third-Party </w:t>
      </w:r>
      <w:r w:rsidR="00E35BCE" w:rsidRPr="00EC1473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Service Providers</w:t>
      </w:r>
    </w:p>
    <w:p w:rsidR="006F7B6D" w:rsidRPr="005034FC" w:rsidRDefault="00E35BCE" w:rsidP="005034FC">
      <w:pPr>
        <w:pStyle w:val="BodyText"/>
        <w:rPr>
          <w:rFonts w:ascii="MS Reference Sans Serif" w:hAnsi="MS Reference Sans Serif" w:cstheme="minorHAnsi"/>
          <w:b w:val="0"/>
          <w:sz w:val="22"/>
          <w:szCs w:val="20"/>
        </w:rPr>
      </w:pPr>
      <w:r w:rsidRPr="00DB772F">
        <w:rPr>
          <w:rFonts w:ascii="MS Reference Sans Serif" w:hAnsi="MS Reference Sans Serif" w:cstheme="minorHAnsi"/>
          <w:b w:val="0"/>
          <w:sz w:val="20"/>
          <w:szCs w:val="20"/>
        </w:rPr>
        <w:br/>
      </w:r>
      <w:r w:rsidR="006F7B6D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If and when </w:t>
      </w:r>
      <w:r w:rsidR="00EC1473">
        <w:rPr>
          <w:rFonts w:ascii="MS Reference Sans Serif" w:hAnsi="MS Reference Sans Serif" w:cstheme="minorHAnsi"/>
          <w:b w:val="0"/>
          <w:sz w:val="20"/>
          <w:szCs w:val="20"/>
        </w:rPr>
        <w:t>third-party</w:t>
      </w:r>
      <w:r w:rsidR="00E800E1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 </w:t>
      </w:r>
      <w:r w:rsidR="00EA5A96" w:rsidRPr="00DB772F">
        <w:rPr>
          <w:rFonts w:ascii="MS Reference Sans Serif" w:hAnsi="MS Reference Sans Serif" w:cstheme="minorHAnsi"/>
          <w:b w:val="0"/>
          <w:sz w:val="20"/>
          <w:szCs w:val="20"/>
        </w:rPr>
        <w:t>service pr</w:t>
      </w:r>
      <w:r w:rsidR="00F82D75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oviders </w:t>
      </w:r>
      <w:r w:rsidR="00EA5A96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are engaged to perform an activity in connection with </w:t>
      </w:r>
      <w:r w:rsidR="005034FC">
        <w:rPr>
          <w:rFonts w:ascii="MS Reference Sans Serif" w:hAnsi="MS Reference Sans Serif" w:cstheme="minorHAnsi"/>
          <w:b w:val="0"/>
          <w:sz w:val="20"/>
          <w:szCs w:val="20"/>
        </w:rPr>
        <w:t>a covered account(s)</w:t>
      </w:r>
      <w:r w:rsidR="00EA5A96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, steps must be taken to ensure the </w:t>
      </w:r>
      <w:r w:rsidR="005C3824" w:rsidRPr="00DB772F">
        <w:rPr>
          <w:rFonts w:ascii="MS Reference Sans Serif" w:hAnsi="MS Reference Sans Serif" w:cstheme="minorHAnsi"/>
          <w:b w:val="0"/>
          <w:sz w:val="20"/>
          <w:szCs w:val="20"/>
        </w:rPr>
        <w:t>service provider acts in compliance with the University’s Identity Theft Prevention Program.</w:t>
      </w:r>
      <w:r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 </w:t>
      </w:r>
      <w:r w:rsidR="00E800E1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 </w:t>
      </w:r>
      <w:r w:rsidR="005C3824" w:rsidRPr="00DB772F">
        <w:rPr>
          <w:rFonts w:ascii="MS Reference Sans Serif" w:hAnsi="MS Reference Sans Serif" w:cstheme="minorHAnsi"/>
          <w:b w:val="0"/>
          <w:sz w:val="20"/>
          <w:szCs w:val="20"/>
        </w:rPr>
        <w:t>This might include reviewing the service provider’s Identity Theft Prevention Program or</w:t>
      </w:r>
      <w:r w:rsidR="005034FC">
        <w:rPr>
          <w:rFonts w:ascii="MS Reference Sans Serif" w:hAnsi="MS Reference Sans Serif" w:cstheme="minorHAnsi"/>
          <w:b w:val="0"/>
          <w:sz w:val="20"/>
          <w:szCs w:val="20"/>
        </w:rPr>
        <w:t>, more likely,</w:t>
      </w:r>
      <w:r w:rsidR="005C3824" w:rsidRPr="00DB772F">
        <w:rPr>
          <w:rFonts w:ascii="MS Reference Sans Serif" w:hAnsi="MS Reference Sans Serif" w:cstheme="minorHAnsi"/>
          <w:b w:val="0"/>
          <w:sz w:val="20"/>
          <w:szCs w:val="20"/>
        </w:rPr>
        <w:t xml:space="preserve"> including language in the</w:t>
      </w:r>
      <w:r w:rsidR="00EC1473">
        <w:rPr>
          <w:rFonts w:ascii="MS Reference Sans Serif" w:hAnsi="MS Reference Sans Serif" w:cstheme="minorHAnsi"/>
          <w:b w:val="0"/>
          <w:sz w:val="20"/>
          <w:szCs w:val="20"/>
        </w:rPr>
        <w:t xml:space="preserve"> contract to confirm compliance.</w:t>
      </w:r>
    </w:p>
    <w:p w:rsidR="005C3824" w:rsidRPr="00DB772F" w:rsidRDefault="005C3824" w:rsidP="0059139C">
      <w:pPr>
        <w:pStyle w:val="BodyText"/>
        <w:jc w:val="both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5C3824" w:rsidRPr="00DB772F" w:rsidRDefault="005C3824" w:rsidP="0059139C">
      <w:pPr>
        <w:pStyle w:val="BodyText"/>
        <w:jc w:val="both"/>
        <w:rPr>
          <w:rFonts w:ascii="MS Reference Sans Serif" w:hAnsi="MS Reference Sans Serif" w:cstheme="minorHAnsi"/>
          <w:b w:val="0"/>
          <w:sz w:val="20"/>
          <w:szCs w:val="20"/>
        </w:rPr>
      </w:pPr>
      <w:r w:rsidRPr="00DB772F">
        <w:rPr>
          <w:rFonts w:ascii="MS Reference Sans Serif" w:hAnsi="MS Reference Sans Serif" w:cstheme="minorHAnsi"/>
          <w:sz w:val="20"/>
          <w:szCs w:val="20"/>
        </w:rPr>
        <w:t>Here are the service providers we use and how we confirm compliance:</w:t>
      </w:r>
      <w:r w:rsidR="0090737F" w:rsidRPr="00DB772F">
        <w:rPr>
          <w:rFonts w:ascii="MS Reference Sans Serif" w:hAnsi="MS Reference Sans Serif" w:cstheme="minorHAnsi"/>
          <w:sz w:val="20"/>
          <w:szCs w:val="20"/>
        </w:rPr>
        <w:t xml:space="preserve"> </w:t>
      </w:r>
      <w:r w:rsidR="0090737F" w:rsidRPr="00DB772F">
        <w:rPr>
          <w:rFonts w:ascii="MS Reference Sans Serif" w:hAnsi="MS Reference Sans Serif" w:cstheme="minorHAnsi"/>
          <w:b w:val="0"/>
          <w:sz w:val="20"/>
          <w:szCs w:val="20"/>
        </w:rPr>
        <w:t>(add lines as needed)</w:t>
      </w:r>
    </w:p>
    <w:p w:rsidR="00032005" w:rsidRPr="00DB772F" w:rsidRDefault="00032005" w:rsidP="0059139C">
      <w:pPr>
        <w:pStyle w:val="BodyText"/>
        <w:jc w:val="both"/>
        <w:rPr>
          <w:rFonts w:ascii="MS Reference Sans Serif" w:hAnsi="MS Reference Sans Serif" w:cstheme="minorHAnsi"/>
          <w:sz w:val="20"/>
          <w:szCs w:val="20"/>
        </w:rPr>
      </w:pPr>
    </w:p>
    <w:p w:rsidR="005C3824" w:rsidRPr="00EC1473" w:rsidRDefault="00C563B0" w:rsidP="00C37529">
      <w:pPr>
        <w:pStyle w:val="BodyText"/>
        <w:numPr>
          <w:ilvl w:val="0"/>
          <w:numId w:val="28"/>
        </w:numPr>
        <w:ind w:left="360"/>
        <w:rPr>
          <w:rFonts w:ascii="MS Reference Sans Serif" w:hAnsi="MS Reference Sans Serif" w:cstheme="minorHAnsi"/>
          <w:b w:val="0"/>
          <w:i/>
          <w:sz w:val="20"/>
          <w:szCs w:val="20"/>
        </w:rPr>
      </w:pPr>
      <w:r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>Example:</w:t>
      </w:r>
      <w:r w:rsidR="00E35BCE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 </w:t>
      </w:r>
      <w:r w:rsidR="00EC1473">
        <w:rPr>
          <w:rFonts w:ascii="MS Reference Sans Serif" w:hAnsi="MS Reference Sans Serif" w:cstheme="minorHAnsi"/>
          <w:b w:val="0"/>
          <w:i/>
          <w:sz w:val="20"/>
          <w:szCs w:val="20"/>
        </w:rPr>
        <w:t>ABC</w:t>
      </w:r>
      <w:r w:rsidR="00243082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 Company </w:t>
      </w:r>
      <w:r w:rsidR="00866F60">
        <w:rPr>
          <w:rFonts w:ascii="MS Reference Sans Serif" w:hAnsi="MS Reference Sans Serif" w:cstheme="minorHAnsi"/>
          <w:b w:val="0"/>
          <w:i/>
          <w:sz w:val="20"/>
          <w:szCs w:val="20"/>
        </w:rPr>
        <w:t>–</w:t>
      </w:r>
      <w:r w:rsidR="00243082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 </w:t>
      </w:r>
      <w:r w:rsidR="00E256F1">
        <w:rPr>
          <w:rFonts w:ascii="MS Reference Sans Serif" w:hAnsi="MS Reference Sans Serif" w:cstheme="minorHAnsi"/>
          <w:b w:val="0"/>
          <w:i/>
          <w:sz w:val="20"/>
          <w:szCs w:val="20"/>
        </w:rPr>
        <w:t>Student Accounts contracts</w:t>
      </w:r>
      <w:r w:rsidR="00866F60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 with ABC Company as a servicer for student loans.  </w:t>
      </w:r>
      <w:r w:rsidR="00264A7C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The contract </w:t>
      </w:r>
      <w:r w:rsidR="00EC1473">
        <w:rPr>
          <w:rFonts w:ascii="MS Reference Sans Serif" w:hAnsi="MS Reference Sans Serif" w:cstheme="minorHAnsi"/>
          <w:b w:val="0"/>
          <w:i/>
          <w:sz w:val="20"/>
          <w:szCs w:val="20"/>
        </w:rPr>
        <w:t>with ABC</w:t>
      </w:r>
      <w:r w:rsidR="00243082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 Company </w:t>
      </w:r>
      <w:r w:rsidR="00264A7C" w:rsidRPr="00EC1473">
        <w:rPr>
          <w:rFonts w:ascii="MS Reference Sans Serif" w:hAnsi="MS Reference Sans Serif" w:cstheme="minorHAnsi"/>
          <w:b w:val="0"/>
          <w:i/>
          <w:sz w:val="20"/>
          <w:szCs w:val="20"/>
        </w:rPr>
        <w:t xml:space="preserve">contains </w:t>
      </w:r>
      <w:r w:rsidR="00EC1473">
        <w:rPr>
          <w:rFonts w:ascii="MS Reference Sans Serif" w:hAnsi="MS Reference Sans Serif" w:cstheme="minorHAnsi"/>
          <w:b w:val="0"/>
          <w:i/>
          <w:sz w:val="20"/>
          <w:szCs w:val="20"/>
        </w:rPr>
        <w:t>language as follows…</w:t>
      </w:r>
    </w:p>
    <w:p w:rsidR="00C37529" w:rsidRPr="00DB772F" w:rsidRDefault="00C37529" w:rsidP="00C37529">
      <w:pPr>
        <w:pStyle w:val="BodyText"/>
        <w:numPr>
          <w:ilvl w:val="0"/>
          <w:numId w:val="28"/>
        </w:numPr>
        <w:ind w:left="360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C37529" w:rsidRPr="00DB772F" w:rsidRDefault="00C37529" w:rsidP="00C37529">
      <w:pPr>
        <w:pStyle w:val="BodyText"/>
        <w:numPr>
          <w:ilvl w:val="0"/>
          <w:numId w:val="28"/>
        </w:numPr>
        <w:ind w:left="360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5C3824" w:rsidRDefault="005C3824" w:rsidP="00C37529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866F60" w:rsidRDefault="00866F60" w:rsidP="00C37529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5034FC" w:rsidRDefault="005034FC" w:rsidP="00C37529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5034FC" w:rsidRPr="00DB772F" w:rsidRDefault="005034FC" w:rsidP="00C37529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F82D75" w:rsidRPr="00EC1473" w:rsidRDefault="00EC1473" w:rsidP="0076782B">
      <w:pPr>
        <w:pStyle w:val="Pa3"/>
        <w:spacing w:before="140" w:after="240"/>
        <w:ind w:left="360" w:hanging="360"/>
        <w:rPr>
          <w:rFonts w:ascii="MS Reference Sans Serif" w:hAnsi="MS Reference Sans Serif" w:cstheme="minorHAnsi"/>
          <w:b/>
          <w:bCs/>
          <w:color w:val="5F497A" w:themeColor="accent4" w:themeShade="BF"/>
          <w:sz w:val="22"/>
          <w:szCs w:val="20"/>
        </w:rPr>
      </w:pPr>
      <w:r w:rsidRPr="00EC1473">
        <w:rPr>
          <w:rFonts w:ascii="MS Reference Sans Serif" w:hAnsi="MS Reference Sans Serif" w:cstheme="minorHAnsi"/>
          <w:b/>
          <w:bCs/>
          <w:color w:val="5F497A" w:themeColor="accent4" w:themeShade="BF"/>
          <w:sz w:val="22"/>
          <w:szCs w:val="20"/>
        </w:rPr>
        <w:lastRenderedPageBreak/>
        <w:t xml:space="preserve">Describe how </w:t>
      </w:r>
      <w:r w:rsidR="00DD74DD">
        <w:rPr>
          <w:rFonts w:ascii="MS Reference Sans Serif" w:hAnsi="MS Reference Sans Serif" w:cstheme="minorHAnsi"/>
          <w:b/>
          <w:bCs/>
          <w:color w:val="5F497A" w:themeColor="accent4" w:themeShade="BF"/>
          <w:sz w:val="22"/>
          <w:szCs w:val="20"/>
        </w:rPr>
        <w:t>staff will be trained</w:t>
      </w:r>
    </w:p>
    <w:p w:rsidR="00F82D75" w:rsidRPr="00DB772F" w:rsidRDefault="005C3824" w:rsidP="0059139C">
      <w:pPr>
        <w:pStyle w:val="Pa3"/>
        <w:spacing w:before="140" w:after="240"/>
        <w:jc w:val="both"/>
        <w:rPr>
          <w:rFonts w:ascii="MS Reference Sans Serif" w:hAnsi="MS Reference Sans Serif" w:cstheme="minorHAnsi"/>
          <w:color w:val="000000"/>
          <w:sz w:val="20"/>
          <w:szCs w:val="20"/>
        </w:rPr>
      </w:pP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t>List the categories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>/types</w:t>
      </w: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of employees who will be trained to detect red flags and how they</w:t>
      </w:r>
      <w:r w:rsidR="00E800E1"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will </w:t>
      </w: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t>be trained – for example, during new employee orientation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, </w:t>
      </w:r>
      <w:r w:rsidR="00DD74DD">
        <w:rPr>
          <w:rFonts w:ascii="MS Reference Sans Serif" w:hAnsi="MS Reference Sans Serif" w:cstheme="minorHAnsi"/>
          <w:color w:val="000000"/>
          <w:sz w:val="20"/>
          <w:szCs w:val="20"/>
        </w:rPr>
        <w:t>monthly</w:t>
      </w:r>
      <w:r w:rsidR="00EC1473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staff meetings, etc.</w:t>
      </w:r>
      <w:r w:rsidRPr="00DB772F">
        <w:rPr>
          <w:rFonts w:ascii="MS Reference Sans Serif" w:hAnsi="MS Reference Sans Serif" w:cstheme="minorHAnsi"/>
          <w:color w:val="000000"/>
          <w:sz w:val="20"/>
          <w:szCs w:val="20"/>
        </w:rPr>
        <w:t xml:space="preserve"> </w:t>
      </w:r>
    </w:p>
    <w:p w:rsidR="00032005" w:rsidRPr="00DB772F" w:rsidRDefault="000A65A3" w:rsidP="00032005">
      <w:pPr>
        <w:pStyle w:val="BodyText"/>
        <w:jc w:val="both"/>
        <w:rPr>
          <w:rStyle w:val="A1"/>
          <w:rFonts w:ascii="MS Reference Sans Serif" w:hAnsi="MS Reference Sans Serif" w:cstheme="minorHAnsi"/>
          <w:sz w:val="20"/>
          <w:szCs w:val="20"/>
        </w:rPr>
      </w:pPr>
      <w:r w:rsidRPr="00DB772F">
        <w:rPr>
          <w:rStyle w:val="A1"/>
          <w:rFonts w:ascii="MS Reference Sans Serif" w:hAnsi="MS Reference Sans Serif" w:cstheme="minorHAnsi"/>
          <w:b/>
          <w:sz w:val="20"/>
          <w:szCs w:val="20"/>
        </w:rPr>
        <w:t xml:space="preserve">Here is how </w:t>
      </w:r>
      <w:r w:rsidR="00DD74DD">
        <w:rPr>
          <w:rStyle w:val="A1"/>
          <w:rFonts w:ascii="MS Reference Sans Serif" w:hAnsi="MS Reference Sans Serif" w:cstheme="minorHAnsi"/>
          <w:b/>
          <w:sz w:val="20"/>
          <w:szCs w:val="20"/>
        </w:rPr>
        <w:t>staff are trained</w:t>
      </w:r>
      <w:r w:rsidR="00EC1473">
        <w:rPr>
          <w:rStyle w:val="A1"/>
          <w:rFonts w:ascii="MS Reference Sans Serif" w:hAnsi="MS Reference Sans Serif" w:cstheme="minorHAnsi"/>
          <w:b/>
          <w:sz w:val="20"/>
          <w:szCs w:val="20"/>
        </w:rPr>
        <w:t xml:space="preserve"> on identifying, detecting, and responding to red flags</w:t>
      </w:r>
      <w:r w:rsidR="00032005" w:rsidRPr="00DB772F">
        <w:rPr>
          <w:rStyle w:val="A1"/>
          <w:rFonts w:ascii="MS Reference Sans Serif" w:hAnsi="MS Reference Sans Serif" w:cstheme="minorHAnsi"/>
          <w:b/>
          <w:sz w:val="20"/>
          <w:szCs w:val="20"/>
        </w:rPr>
        <w:t>:</w:t>
      </w:r>
      <w:r w:rsidR="00032005" w:rsidRPr="00DB772F">
        <w:rPr>
          <w:rStyle w:val="A1"/>
          <w:rFonts w:ascii="MS Reference Sans Serif" w:hAnsi="MS Reference Sans Serif" w:cstheme="minorHAnsi"/>
          <w:sz w:val="20"/>
          <w:szCs w:val="20"/>
        </w:rPr>
        <w:t xml:space="preserve"> (add lines as needed)</w:t>
      </w:r>
    </w:p>
    <w:p w:rsidR="00032005" w:rsidRPr="00DB772F" w:rsidRDefault="00032005" w:rsidP="00032005">
      <w:pPr>
        <w:rPr>
          <w:rFonts w:ascii="MS Reference Sans Serif" w:hAnsi="MS Reference Sans Serif"/>
        </w:rPr>
      </w:pPr>
    </w:p>
    <w:p w:rsidR="00C563B0" w:rsidRPr="00DD74DD" w:rsidRDefault="00C563B0" w:rsidP="00C37529">
      <w:pPr>
        <w:pStyle w:val="ListParagraph"/>
        <w:numPr>
          <w:ilvl w:val="0"/>
          <w:numId w:val="30"/>
        </w:numPr>
        <w:rPr>
          <w:rFonts w:ascii="MS Reference Sans Serif" w:hAnsi="MS Reference Sans Serif" w:cstheme="minorHAnsi"/>
          <w:i/>
        </w:rPr>
      </w:pPr>
      <w:r w:rsidRPr="00DD74DD">
        <w:rPr>
          <w:rFonts w:ascii="MS Reference Sans Serif" w:hAnsi="MS Reference Sans Serif" w:cstheme="minorHAnsi"/>
          <w:i/>
        </w:rPr>
        <w:t>Example:</w:t>
      </w:r>
      <w:r w:rsidR="00FD06DE" w:rsidRPr="00DD74DD">
        <w:rPr>
          <w:rFonts w:ascii="MS Reference Sans Serif" w:hAnsi="MS Reference Sans Serif" w:cstheme="minorHAnsi"/>
          <w:i/>
        </w:rPr>
        <w:t xml:space="preserve"> </w:t>
      </w:r>
      <w:r w:rsidR="00866F60">
        <w:rPr>
          <w:rFonts w:ascii="MS Reference Sans Serif" w:hAnsi="MS Reference Sans Serif" w:cstheme="minorHAnsi"/>
          <w:i/>
        </w:rPr>
        <w:t>Financial Aid staff</w:t>
      </w:r>
      <w:r w:rsidR="00E800E1" w:rsidRPr="00DD74DD">
        <w:rPr>
          <w:rFonts w:ascii="MS Reference Sans Serif" w:hAnsi="MS Reference Sans Serif" w:cstheme="minorHAnsi"/>
          <w:i/>
        </w:rPr>
        <w:t xml:space="preserve"> </w:t>
      </w:r>
      <w:r w:rsidR="002F7A2A" w:rsidRPr="00DD74DD">
        <w:rPr>
          <w:rFonts w:ascii="MS Reference Sans Serif" w:hAnsi="MS Reference Sans Serif" w:cstheme="minorHAnsi"/>
          <w:i/>
        </w:rPr>
        <w:t>are t</w:t>
      </w:r>
      <w:r w:rsidR="00331428" w:rsidRPr="00DD74DD">
        <w:rPr>
          <w:rFonts w:ascii="MS Reference Sans Serif" w:hAnsi="MS Reference Sans Serif" w:cstheme="minorHAnsi"/>
          <w:i/>
        </w:rPr>
        <w:t xml:space="preserve">rained </w:t>
      </w:r>
      <w:r w:rsidR="002F7A2A" w:rsidRPr="00DD74DD">
        <w:rPr>
          <w:rFonts w:ascii="MS Reference Sans Serif" w:hAnsi="MS Reference Sans Serif" w:cstheme="minorHAnsi"/>
          <w:i/>
        </w:rPr>
        <w:t>upon hire a</w:t>
      </w:r>
      <w:r w:rsidR="005034FC">
        <w:rPr>
          <w:rFonts w:ascii="MS Reference Sans Serif" w:hAnsi="MS Reference Sans Serif" w:cstheme="minorHAnsi"/>
          <w:i/>
        </w:rPr>
        <w:t xml:space="preserve">nd at least annually thereafter by reviewing the </w:t>
      </w:r>
      <w:r w:rsidR="005034FC" w:rsidRPr="005D3054">
        <w:rPr>
          <w:rFonts w:ascii="MS Reference Sans Serif" w:hAnsi="MS Reference Sans Serif" w:cstheme="minorHAnsi"/>
          <w:i/>
        </w:rPr>
        <w:t>Red Flags Rule Training</w:t>
      </w:r>
      <w:r w:rsidR="005034FC">
        <w:rPr>
          <w:rFonts w:ascii="MS Reference Sans Serif" w:hAnsi="MS Reference Sans Serif" w:cstheme="minorHAnsi"/>
          <w:i/>
        </w:rPr>
        <w:t xml:space="preserve"> presentation on the Compliance Office website.</w:t>
      </w:r>
      <w:r w:rsidR="002F7A2A" w:rsidRPr="00DD74DD">
        <w:rPr>
          <w:rFonts w:ascii="MS Reference Sans Serif" w:hAnsi="MS Reference Sans Serif" w:cstheme="minorHAnsi"/>
          <w:i/>
        </w:rPr>
        <w:t xml:space="preserve"> </w:t>
      </w:r>
      <w:r w:rsidR="005034FC">
        <w:rPr>
          <w:rFonts w:ascii="MS Reference Sans Serif" w:hAnsi="MS Reference Sans Serif" w:cstheme="minorHAnsi"/>
          <w:i/>
        </w:rPr>
        <w:t>Staff are also trained on identity verification procedures (such as over the phone) to ensure confidential information is only released to authorized individuals.</w:t>
      </w:r>
    </w:p>
    <w:p w:rsidR="00C37529" w:rsidRPr="00DD74DD" w:rsidRDefault="00E256F1" w:rsidP="00C37529">
      <w:pPr>
        <w:pStyle w:val="ListParagraph"/>
        <w:numPr>
          <w:ilvl w:val="0"/>
          <w:numId w:val="30"/>
        </w:numPr>
        <w:rPr>
          <w:rFonts w:ascii="MS Reference Sans Serif" w:hAnsi="MS Reference Sans Serif" w:cstheme="minorHAnsi"/>
          <w:i/>
        </w:rPr>
      </w:pPr>
      <w:r>
        <w:rPr>
          <w:rFonts w:ascii="MS Reference Sans Serif" w:hAnsi="MS Reference Sans Serif" w:cstheme="minorHAnsi"/>
          <w:i/>
        </w:rPr>
        <w:t xml:space="preserve">Example: </w:t>
      </w:r>
      <w:r w:rsidR="00866F60">
        <w:rPr>
          <w:rFonts w:ascii="MS Reference Sans Serif" w:hAnsi="MS Reference Sans Serif" w:cstheme="minorHAnsi"/>
          <w:i/>
        </w:rPr>
        <w:t>Student Accounts staff</w:t>
      </w:r>
      <w:r w:rsidR="002F7A2A" w:rsidRPr="00DD74DD">
        <w:rPr>
          <w:rFonts w:ascii="MS Reference Sans Serif" w:hAnsi="MS Reference Sans Serif" w:cstheme="minorHAnsi"/>
          <w:i/>
        </w:rPr>
        <w:t xml:space="preserve"> </w:t>
      </w:r>
      <w:r w:rsidR="00DD74DD">
        <w:rPr>
          <w:rFonts w:ascii="MS Reference Sans Serif" w:hAnsi="MS Reference Sans Serif" w:cstheme="minorHAnsi"/>
          <w:i/>
        </w:rPr>
        <w:t xml:space="preserve">are required to review the </w:t>
      </w:r>
      <w:r w:rsidR="00DD74DD" w:rsidRPr="005D3054">
        <w:rPr>
          <w:rFonts w:ascii="MS Reference Sans Serif" w:hAnsi="MS Reference Sans Serif" w:cstheme="minorHAnsi"/>
          <w:i/>
        </w:rPr>
        <w:t>Red Flags Rule Training</w:t>
      </w:r>
      <w:r w:rsidR="00DD74DD">
        <w:rPr>
          <w:rFonts w:ascii="MS Reference Sans Serif" w:hAnsi="MS Reference Sans Serif" w:cstheme="minorHAnsi"/>
          <w:i/>
        </w:rPr>
        <w:t xml:space="preserve"> presentation on the Compliance Office website at least annually</w:t>
      </w:r>
      <w:r w:rsidR="00FD06DE" w:rsidRPr="00DD74DD">
        <w:rPr>
          <w:rFonts w:ascii="MS Reference Sans Serif" w:hAnsi="MS Reference Sans Serif" w:cstheme="minorHAnsi"/>
          <w:i/>
        </w:rPr>
        <w:t>.</w:t>
      </w:r>
      <w:r w:rsidR="002F7A2A" w:rsidRPr="00DD74DD">
        <w:rPr>
          <w:rFonts w:ascii="MS Reference Sans Serif" w:hAnsi="MS Reference Sans Serif" w:cstheme="minorHAnsi"/>
          <w:i/>
        </w:rPr>
        <w:t xml:space="preserve">  </w:t>
      </w:r>
      <w:r w:rsidR="005034FC">
        <w:rPr>
          <w:rFonts w:ascii="MS Reference Sans Serif" w:hAnsi="MS Reference Sans Serif" w:cstheme="minorHAnsi"/>
          <w:i/>
        </w:rPr>
        <w:t>Staff are trained on office procedures to ensure sensitive information is provided onl</w:t>
      </w:r>
      <w:bookmarkStart w:id="0" w:name="_GoBack"/>
      <w:bookmarkEnd w:id="0"/>
      <w:r w:rsidR="005034FC">
        <w:rPr>
          <w:rFonts w:ascii="MS Reference Sans Serif" w:hAnsi="MS Reference Sans Serif" w:cstheme="minorHAnsi"/>
          <w:i/>
        </w:rPr>
        <w:t>y to the individual or those with a “need to know.”</w:t>
      </w:r>
    </w:p>
    <w:p w:rsidR="00C37529" w:rsidRPr="00EC1473" w:rsidRDefault="00C37529" w:rsidP="00EC1473">
      <w:pPr>
        <w:pStyle w:val="ListParagraph"/>
        <w:numPr>
          <w:ilvl w:val="0"/>
          <w:numId w:val="30"/>
        </w:numPr>
        <w:rPr>
          <w:rFonts w:ascii="MS Reference Sans Serif" w:hAnsi="MS Reference Sans Serif" w:cstheme="minorHAnsi"/>
        </w:rPr>
      </w:pPr>
    </w:p>
    <w:p w:rsidR="00E14CF8" w:rsidRDefault="00E14CF8">
      <w:pPr>
        <w:rPr>
          <w:rFonts w:ascii="MS Reference Sans Serif" w:hAnsi="MS Reference Sans Serif" w:cstheme="minorHAnsi"/>
          <w:b/>
          <w:bCs/>
          <w:color w:val="FF0000"/>
        </w:rPr>
      </w:pPr>
    </w:p>
    <w:p w:rsidR="00BA2C9F" w:rsidRDefault="00BA2C9F">
      <w:pPr>
        <w:rPr>
          <w:rFonts w:ascii="MS Reference Sans Serif" w:hAnsi="MS Reference Sans Serif" w:cstheme="minorHAnsi"/>
          <w:b/>
          <w:bCs/>
          <w:color w:val="FF0000"/>
        </w:rPr>
      </w:pPr>
    </w:p>
    <w:p w:rsidR="00F00D46" w:rsidRPr="00DD74DD" w:rsidRDefault="005C3824" w:rsidP="00EA5A96">
      <w:pPr>
        <w:pStyle w:val="BodyText"/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</w:pPr>
      <w:r w:rsidRPr="00DD74DD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Program R</w:t>
      </w:r>
      <w:r w:rsidR="007936CB">
        <w:rPr>
          <w:rFonts w:ascii="MS Reference Sans Serif" w:hAnsi="MS Reference Sans Serif" w:cstheme="minorHAnsi"/>
          <w:color w:val="5F497A" w:themeColor="accent4" w:themeShade="BF"/>
          <w:sz w:val="22"/>
          <w:szCs w:val="20"/>
        </w:rPr>
        <w:t>eview and Annual Certification</w:t>
      </w:r>
    </w:p>
    <w:p w:rsidR="00F00D46" w:rsidRPr="00DB772F" w:rsidRDefault="00F00D46">
      <w:pPr>
        <w:pStyle w:val="BodyText"/>
        <w:rPr>
          <w:rFonts w:ascii="MS Reference Sans Serif" w:hAnsi="MS Reference Sans Serif" w:cstheme="minorHAnsi"/>
          <w:b w:val="0"/>
          <w:sz w:val="20"/>
          <w:szCs w:val="20"/>
        </w:rPr>
      </w:pPr>
    </w:p>
    <w:p w:rsidR="00236F81" w:rsidRPr="00DD74DD" w:rsidRDefault="00DD74DD" w:rsidP="00DD74DD">
      <w:pPr>
        <w:pStyle w:val="ListParagraph"/>
        <w:numPr>
          <w:ilvl w:val="0"/>
          <w:numId w:val="33"/>
        </w:numPr>
        <w:rPr>
          <w:rFonts w:ascii="MS Reference Sans Serif" w:hAnsi="MS Reference Sans Serif" w:cstheme="minorHAnsi"/>
        </w:rPr>
      </w:pPr>
      <w:r w:rsidRPr="00DD74DD">
        <w:rPr>
          <w:rFonts w:ascii="MS Reference Sans Serif" w:hAnsi="MS Reference Sans Serif" w:cstheme="minorHAnsi"/>
        </w:rPr>
        <w:t>Please r</w:t>
      </w:r>
      <w:r w:rsidR="005C3824" w:rsidRPr="00DD74DD">
        <w:rPr>
          <w:rFonts w:ascii="MS Reference Sans Serif" w:hAnsi="MS Reference Sans Serif" w:cstheme="minorHAnsi"/>
        </w:rPr>
        <w:t xml:space="preserve">eview and adjust your </w:t>
      </w:r>
      <w:r w:rsidRPr="00DD74DD">
        <w:rPr>
          <w:rFonts w:ascii="MS Reference Sans Serif" w:hAnsi="MS Reference Sans Serif" w:cstheme="minorHAnsi"/>
        </w:rPr>
        <w:t>unit’s plan as needed but at least annually.</w:t>
      </w:r>
    </w:p>
    <w:p w:rsidR="00E76D26" w:rsidRPr="00DD74DD" w:rsidRDefault="00DD74DD" w:rsidP="00DD74DD">
      <w:pPr>
        <w:pStyle w:val="ListParagraph"/>
        <w:numPr>
          <w:ilvl w:val="0"/>
          <w:numId w:val="33"/>
        </w:numPr>
        <w:rPr>
          <w:rFonts w:ascii="MS Reference Sans Serif" w:hAnsi="MS Reference Sans Serif" w:cstheme="minorHAnsi"/>
        </w:rPr>
      </w:pPr>
      <w:r>
        <w:rPr>
          <w:rFonts w:ascii="MS Reference Sans Serif" w:hAnsi="MS Reference Sans Serif" w:cstheme="minorHAnsi"/>
        </w:rPr>
        <w:t>Please</w:t>
      </w:r>
      <w:r w:rsidRPr="00DD74DD">
        <w:rPr>
          <w:rFonts w:ascii="MS Reference Sans Serif" w:hAnsi="MS Reference Sans Serif" w:cstheme="minorHAnsi"/>
        </w:rPr>
        <w:t xml:space="preserve"> complete and submit the </w:t>
      </w:r>
      <w:r w:rsidRPr="00E715ED">
        <w:rPr>
          <w:rFonts w:ascii="MS Reference Sans Serif" w:hAnsi="MS Reference Sans Serif" w:cstheme="minorHAnsi"/>
          <w:b/>
        </w:rPr>
        <w:t>Red Flags Rule Certification F</w:t>
      </w:r>
      <w:r w:rsidR="00C563B0" w:rsidRPr="00E715ED">
        <w:rPr>
          <w:rFonts w:ascii="MS Reference Sans Serif" w:hAnsi="MS Reference Sans Serif" w:cstheme="minorHAnsi"/>
          <w:b/>
        </w:rPr>
        <w:t>orm</w:t>
      </w:r>
      <w:r w:rsidR="00C563B0" w:rsidRPr="00DD74DD">
        <w:rPr>
          <w:rFonts w:ascii="MS Reference Sans Serif" w:hAnsi="MS Reference Sans Serif" w:cstheme="minorHAnsi"/>
        </w:rPr>
        <w:t xml:space="preserve"> located on the </w:t>
      </w:r>
      <w:hyperlink r:id="rId10" w:history="1">
        <w:r w:rsidRPr="00DD74DD">
          <w:rPr>
            <w:rStyle w:val="Hyperlink"/>
            <w:rFonts w:ascii="MS Reference Sans Serif" w:hAnsi="MS Reference Sans Serif" w:cstheme="minorHAnsi"/>
          </w:rPr>
          <w:t>Red Flags Rule Compliance</w:t>
        </w:r>
      </w:hyperlink>
      <w:r w:rsidRPr="00DD74DD">
        <w:rPr>
          <w:rFonts w:ascii="MS Reference Sans Serif" w:hAnsi="MS Reference Sans Serif" w:cstheme="minorHAnsi"/>
        </w:rPr>
        <w:t xml:space="preserve"> page. </w:t>
      </w:r>
    </w:p>
    <w:sectPr w:rsidR="00E76D26" w:rsidRPr="00DD74DD" w:rsidSect="00DB772F">
      <w:headerReference w:type="default" r:id="rId11"/>
      <w:footerReference w:type="even" r:id="rId12"/>
      <w:footerReference w:type="default" r:id="rId13"/>
      <w:pgSz w:w="12240" w:h="15840"/>
      <w:pgMar w:top="933" w:right="1710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F3" w:rsidRDefault="00C120F3">
      <w:r>
        <w:separator/>
      </w:r>
    </w:p>
  </w:endnote>
  <w:endnote w:type="continuationSeparator" w:id="0">
    <w:p w:rsidR="00C120F3" w:rsidRDefault="00C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NewsGot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24" w:rsidRDefault="00B26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824" w:rsidRDefault="005C38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24" w:rsidRDefault="00B26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8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054">
      <w:rPr>
        <w:rStyle w:val="PageNumber"/>
        <w:noProof/>
      </w:rPr>
      <w:t>1</w:t>
    </w:r>
    <w:r>
      <w:rPr>
        <w:rStyle w:val="PageNumber"/>
      </w:rPr>
      <w:fldChar w:fldCharType="end"/>
    </w:r>
  </w:p>
  <w:p w:rsidR="005C3824" w:rsidRDefault="00E35BCE" w:rsidP="00E35BCE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F3" w:rsidRDefault="00C120F3">
      <w:r>
        <w:separator/>
      </w:r>
    </w:p>
  </w:footnote>
  <w:footnote w:type="continuationSeparator" w:id="0">
    <w:p w:rsidR="00C120F3" w:rsidRDefault="00C1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2F" w:rsidRDefault="00DB772F" w:rsidP="00DB772F">
    <w:pPr>
      <w:pStyle w:val="Heading1"/>
      <w:pBdr>
        <w:bottom w:val="single" w:sz="4" w:space="1" w:color="auto"/>
      </w:pBdr>
      <w:tabs>
        <w:tab w:val="right" w:pos="9792"/>
      </w:tabs>
      <w:spacing w:line="340" w:lineRule="exact"/>
      <w:rPr>
        <w:rFonts w:asciiTheme="minorHAnsi" w:hAnsiTheme="minorHAnsi"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44F01" wp14:editId="4037A45E">
          <wp:simplePos x="0" y="0"/>
          <wp:positionH relativeFrom="column">
            <wp:posOffset>6017895</wp:posOffset>
          </wp:positionH>
          <wp:positionV relativeFrom="paragraph">
            <wp:posOffset>-314325</wp:posOffset>
          </wp:positionV>
          <wp:extent cx="981075" cy="1133475"/>
          <wp:effectExtent l="0" t="0" r="0" b="9525"/>
          <wp:wrapNone/>
          <wp:docPr id="13" name="Picture 13" descr="U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35BCE" w:rsidRPr="00DB772F" w:rsidRDefault="00222125" w:rsidP="00DB772F">
    <w:pPr>
      <w:pStyle w:val="Heading1"/>
      <w:pBdr>
        <w:bottom w:val="single" w:sz="4" w:space="1" w:color="auto"/>
      </w:pBdr>
      <w:tabs>
        <w:tab w:val="right" w:pos="9792"/>
      </w:tabs>
      <w:spacing w:line="340" w:lineRule="exact"/>
      <w:rPr>
        <w:rFonts w:ascii="MS Reference Sans Serif" w:hAnsi="MS Reference Sans Serif" w:cstheme="minorHAnsi"/>
        <w:color w:val="5F497A" w:themeColor="accent4" w:themeShade="BF"/>
        <w:szCs w:val="28"/>
      </w:rPr>
    </w:pPr>
    <w:r>
      <w:rPr>
        <w:rFonts w:ascii="MS Reference Sans Serif" w:hAnsi="MS Reference Sans Serif" w:cstheme="minorHAnsi"/>
        <w:color w:val="5F497A" w:themeColor="accent4" w:themeShade="BF"/>
        <w:szCs w:val="28"/>
      </w:rPr>
      <w:t>Red Flags Rule Department</w:t>
    </w:r>
    <w:r w:rsidR="00DB772F">
      <w:rPr>
        <w:rFonts w:ascii="MS Reference Sans Serif" w:hAnsi="MS Reference Sans Serif" w:cstheme="minorHAnsi"/>
        <w:color w:val="5F497A" w:themeColor="accent4" w:themeShade="BF"/>
        <w:szCs w:val="28"/>
      </w:rPr>
      <w:t xml:space="preserve"> Template</w:t>
    </w:r>
  </w:p>
  <w:p w:rsidR="0076782B" w:rsidRPr="0076782B" w:rsidRDefault="0076782B" w:rsidP="007678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DD"/>
    <w:multiLevelType w:val="hybridMultilevel"/>
    <w:tmpl w:val="CF769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35DC9"/>
    <w:multiLevelType w:val="hybridMultilevel"/>
    <w:tmpl w:val="7C68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26D4"/>
    <w:multiLevelType w:val="hybridMultilevel"/>
    <w:tmpl w:val="C7A8EB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646CCC"/>
    <w:multiLevelType w:val="hybridMultilevel"/>
    <w:tmpl w:val="2F5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ACC6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1E17"/>
    <w:multiLevelType w:val="hybridMultilevel"/>
    <w:tmpl w:val="4000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BE8"/>
    <w:multiLevelType w:val="hybridMultilevel"/>
    <w:tmpl w:val="D2D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C9C"/>
    <w:multiLevelType w:val="hybridMultilevel"/>
    <w:tmpl w:val="380C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10574"/>
    <w:multiLevelType w:val="hybridMultilevel"/>
    <w:tmpl w:val="B80E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5EFD"/>
    <w:multiLevelType w:val="hybridMultilevel"/>
    <w:tmpl w:val="92F08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D47B0"/>
    <w:multiLevelType w:val="hybridMultilevel"/>
    <w:tmpl w:val="06F42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032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65525"/>
    <w:multiLevelType w:val="hybridMultilevel"/>
    <w:tmpl w:val="6CFC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77A2"/>
    <w:multiLevelType w:val="hybridMultilevel"/>
    <w:tmpl w:val="FB4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7781"/>
    <w:multiLevelType w:val="hybridMultilevel"/>
    <w:tmpl w:val="364EE0DE"/>
    <w:lvl w:ilvl="0" w:tplc="756E5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3D6459"/>
    <w:multiLevelType w:val="hybridMultilevel"/>
    <w:tmpl w:val="F03A6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17D57"/>
    <w:multiLevelType w:val="hybridMultilevel"/>
    <w:tmpl w:val="D1D20B6C"/>
    <w:lvl w:ilvl="0" w:tplc="7F74FF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31404"/>
    <w:multiLevelType w:val="hybridMultilevel"/>
    <w:tmpl w:val="3C18F3BC"/>
    <w:lvl w:ilvl="0" w:tplc="DCB826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FD62DC"/>
    <w:multiLevelType w:val="hybridMultilevel"/>
    <w:tmpl w:val="E1B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5D72"/>
    <w:multiLevelType w:val="hybridMultilevel"/>
    <w:tmpl w:val="C1D24BCA"/>
    <w:lvl w:ilvl="0" w:tplc="DCB82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F0685"/>
    <w:multiLevelType w:val="hybridMultilevel"/>
    <w:tmpl w:val="92D8F37C"/>
    <w:lvl w:ilvl="0" w:tplc="DCB826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532DF3"/>
    <w:multiLevelType w:val="hybridMultilevel"/>
    <w:tmpl w:val="6C02F6A4"/>
    <w:lvl w:ilvl="0" w:tplc="A07E7F5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81DCA"/>
    <w:multiLevelType w:val="hybridMultilevel"/>
    <w:tmpl w:val="16A6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451"/>
    <w:multiLevelType w:val="hybridMultilevel"/>
    <w:tmpl w:val="C34A9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06EA1"/>
    <w:multiLevelType w:val="hybridMultilevel"/>
    <w:tmpl w:val="2FDA3BCC"/>
    <w:lvl w:ilvl="0" w:tplc="958C82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C370DF"/>
    <w:multiLevelType w:val="hybridMultilevel"/>
    <w:tmpl w:val="C7A8EB00"/>
    <w:lvl w:ilvl="0" w:tplc="DCB826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055A5"/>
    <w:multiLevelType w:val="hybridMultilevel"/>
    <w:tmpl w:val="E398F4F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5E442FC"/>
    <w:multiLevelType w:val="hybridMultilevel"/>
    <w:tmpl w:val="A1BEA370"/>
    <w:lvl w:ilvl="0" w:tplc="7AFC87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D362C"/>
    <w:multiLevelType w:val="hybridMultilevel"/>
    <w:tmpl w:val="E0104FEA"/>
    <w:lvl w:ilvl="0" w:tplc="A29229AA">
      <w:start w:val="1"/>
      <w:numFmt w:val="decimal"/>
      <w:lvlText w:val="%1."/>
      <w:lvlJc w:val="left"/>
      <w:pPr>
        <w:ind w:left="720" w:hanging="360"/>
      </w:pPr>
      <w:rPr>
        <w:rFonts w:ascii="NewsGoth BT" w:hAnsi="NewsGoth BT" w:cs="NewsGoth B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24746"/>
    <w:multiLevelType w:val="hybridMultilevel"/>
    <w:tmpl w:val="051C5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033D"/>
    <w:multiLevelType w:val="hybridMultilevel"/>
    <w:tmpl w:val="EF88D072"/>
    <w:lvl w:ilvl="0" w:tplc="62F49B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BA2BB9"/>
    <w:multiLevelType w:val="hybridMultilevel"/>
    <w:tmpl w:val="2020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5068"/>
    <w:multiLevelType w:val="hybridMultilevel"/>
    <w:tmpl w:val="B2B0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202AE"/>
    <w:multiLevelType w:val="hybridMultilevel"/>
    <w:tmpl w:val="1788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37EA1"/>
    <w:multiLevelType w:val="hybridMultilevel"/>
    <w:tmpl w:val="5298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4C1A"/>
    <w:multiLevelType w:val="hybridMultilevel"/>
    <w:tmpl w:val="4662A462"/>
    <w:lvl w:ilvl="0" w:tplc="4100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33"/>
  </w:num>
  <w:num w:numId="8">
    <w:abstractNumId w:val="28"/>
  </w:num>
  <w:num w:numId="9">
    <w:abstractNumId w:val="14"/>
  </w:num>
  <w:num w:numId="10">
    <w:abstractNumId w:val="25"/>
  </w:num>
  <w:num w:numId="11">
    <w:abstractNumId w:val="22"/>
  </w:num>
  <w:num w:numId="12">
    <w:abstractNumId w:val="18"/>
  </w:num>
  <w:num w:numId="13">
    <w:abstractNumId w:val="23"/>
  </w:num>
  <w:num w:numId="14">
    <w:abstractNumId w:val="2"/>
  </w:num>
  <w:num w:numId="15">
    <w:abstractNumId w:val="24"/>
  </w:num>
  <w:num w:numId="16">
    <w:abstractNumId w:val="11"/>
  </w:num>
  <w:num w:numId="17">
    <w:abstractNumId w:val="7"/>
  </w:num>
  <w:num w:numId="18">
    <w:abstractNumId w:val="32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3"/>
  </w:num>
  <w:num w:numId="24">
    <w:abstractNumId w:val="10"/>
  </w:num>
  <w:num w:numId="25">
    <w:abstractNumId w:val="29"/>
  </w:num>
  <w:num w:numId="26">
    <w:abstractNumId w:val="1"/>
  </w:num>
  <w:num w:numId="27">
    <w:abstractNumId w:val="20"/>
  </w:num>
  <w:num w:numId="28">
    <w:abstractNumId w:val="31"/>
  </w:num>
  <w:num w:numId="29">
    <w:abstractNumId w:val="21"/>
  </w:num>
  <w:num w:numId="30">
    <w:abstractNumId w:val="27"/>
  </w:num>
  <w:num w:numId="31">
    <w:abstractNumId w:val="0"/>
  </w:num>
  <w:num w:numId="32">
    <w:abstractNumId w:val="6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E"/>
    <w:rsid w:val="0002170D"/>
    <w:rsid w:val="00032005"/>
    <w:rsid w:val="0004478F"/>
    <w:rsid w:val="000A65A3"/>
    <w:rsid w:val="000B16F5"/>
    <w:rsid w:val="000C5448"/>
    <w:rsid w:val="000E1969"/>
    <w:rsid w:val="00107FD6"/>
    <w:rsid w:val="00115345"/>
    <w:rsid w:val="00142B2C"/>
    <w:rsid w:val="0017633B"/>
    <w:rsid w:val="0018235F"/>
    <w:rsid w:val="001A3310"/>
    <w:rsid w:val="001B0ACB"/>
    <w:rsid w:val="00203CA2"/>
    <w:rsid w:val="00216ACD"/>
    <w:rsid w:val="00222125"/>
    <w:rsid w:val="00235E54"/>
    <w:rsid w:val="00236F81"/>
    <w:rsid w:val="00243082"/>
    <w:rsid w:val="00255976"/>
    <w:rsid w:val="00256133"/>
    <w:rsid w:val="00261F72"/>
    <w:rsid w:val="00264A7C"/>
    <w:rsid w:val="00265324"/>
    <w:rsid w:val="0026703E"/>
    <w:rsid w:val="002859F7"/>
    <w:rsid w:val="00285B4A"/>
    <w:rsid w:val="002A7F6B"/>
    <w:rsid w:val="002B3748"/>
    <w:rsid w:val="002B4731"/>
    <w:rsid w:val="002C11B5"/>
    <w:rsid w:val="002C2961"/>
    <w:rsid w:val="002D2EE0"/>
    <w:rsid w:val="002E060A"/>
    <w:rsid w:val="002F31E9"/>
    <w:rsid w:val="002F7A2A"/>
    <w:rsid w:val="0031353C"/>
    <w:rsid w:val="003146E4"/>
    <w:rsid w:val="00331428"/>
    <w:rsid w:val="00331CA9"/>
    <w:rsid w:val="0033788F"/>
    <w:rsid w:val="00361BDE"/>
    <w:rsid w:val="00396F1F"/>
    <w:rsid w:val="003A6339"/>
    <w:rsid w:val="003B1601"/>
    <w:rsid w:val="003B5883"/>
    <w:rsid w:val="003E17CC"/>
    <w:rsid w:val="003F1BEA"/>
    <w:rsid w:val="004908C3"/>
    <w:rsid w:val="004923C7"/>
    <w:rsid w:val="004A4E96"/>
    <w:rsid w:val="004B4FB2"/>
    <w:rsid w:val="004E07E0"/>
    <w:rsid w:val="0050033B"/>
    <w:rsid w:val="005034FC"/>
    <w:rsid w:val="005250D5"/>
    <w:rsid w:val="00583B06"/>
    <w:rsid w:val="0059139C"/>
    <w:rsid w:val="005916BF"/>
    <w:rsid w:val="005A7B63"/>
    <w:rsid w:val="005C0C9A"/>
    <w:rsid w:val="005C3824"/>
    <w:rsid w:val="005D3054"/>
    <w:rsid w:val="005E5162"/>
    <w:rsid w:val="00661381"/>
    <w:rsid w:val="00691A7C"/>
    <w:rsid w:val="006C6A53"/>
    <w:rsid w:val="006E0D17"/>
    <w:rsid w:val="006E4DEE"/>
    <w:rsid w:val="006F7B6D"/>
    <w:rsid w:val="00700CB4"/>
    <w:rsid w:val="0070378E"/>
    <w:rsid w:val="00733278"/>
    <w:rsid w:val="00750B06"/>
    <w:rsid w:val="007524E2"/>
    <w:rsid w:val="0076782B"/>
    <w:rsid w:val="00773272"/>
    <w:rsid w:val="0078569E"/>
    <w:rsid w:val="007936CB"/>
    <w:rsid w:val="00797117"/>
    <w:rsid w:val="00825225"/>
    <w:rsid w:val="00834C5A"/>
    <w:rsid w:val="00852BAF"/>
    <w:rsid w:val="00866F60"/>
    <w:rsid w:val="008C081E"/>
    <w:rsid w:val="008F392E"/>
    <w:rsid w:val="0090737F"/>
    <w:rsid w:val="00945F05"/>
    <w:rsid w:val="0094787F"/>
    <w:rsid w:val="009540BB"/>
    <w:rsid w:val="0096433F"/>
    <w:rsid w:val="00983695"/>
    <w:rsid w:val="009A3DB9"/>
    <w:rsid w:val="009A70CB"/>
    <w:rsid w:val="009B7792"/>
    <w:rsid w:val="009C1B5F"/>
    <w:rsid w:val="009C31E9"/>
    <w:rsid w:val="00A17026"/>
    <w:rsid w:val="00A43F5E"/>
    <w:rsid w:val="00A5594D"/>
    <w:rsid w:val="00A70F3C"/>
    <w:rsid w:val="00AA023E"/>
    <w:rsid w:val="00AC7907"/>
    <w:rsid w:val="00B26B60"/>
    <w:rsid w:val="00B307FE"/>
    <w:rsid w:val="00B41C14"/>
    <w:rsid w:val="00B8448C"/>
    <w:rsid w:val="00B84B86"/>
    <w:rsid w:val="00B90A99"/>
    <w:rsid w:val="00BA2C9F"/>
    <w:rsid w:val="00BB29F3"/>
    <w:rsid w:val="00BC3AB9"/>
    <w:rsid w:val="00BE6232"/>
    <w:rsid w:val="00BE7B4C"/>
    <w:rsid w:val="00C120F3"/>
    <w:rsid w:val="00C27BAD"/>
    <w:rsid w:val="00C37529"/>
    <w:rsid w:val="00C563B0"/>
    <w:rsid w:val="00C74193"/>
    <w:rsid w:val="00C77DF1"/>
    <w:rsid w:val="00C9318E"/>
    <w:rsid w:val="00CA4ED8"/>
    <w:rsid w:val="00CC10EB"/>
    <w:rsid w:val="00CC7889"/>
    <w:rsid w:val="00CE1442"/>
    <w:rsid w:val="00CE3F55"/>
    <w:rsid w:val="00CE619F"/>
    <w:rsid w:val="00D148C6"/>
    <w:rsid w:val="00D17AD3"/>
    <w:rsid w:val="00D21CD6"/>
    <w:rsid w:val="00D55C70"/>
    <w:rsid w:val="00DB772F"/>
    <w:rsid w:val="00DC23D8"/>
    <w:rsid w:val="00DD74DD"/>
    <w:rsid w:val="00DF1F5D"/>
    <w:rsid w:val="00E14CF8"/>
    <w:rsid w:val="00E256F1"/>
    <w:rsid w:val="00E26F59"/>
    <w:rsid w:val="00E32EB2"/>
    <w:rsid w:val="00E35BCE"/>
    <w:rsid w:val="00E43A9F"/>
    <w:rsid w:val="00E56339"/>
    <w:rsid w:val="00E647ED"/>
    <w:rsid w:val="00E715ED"/>
    <w:rsid w:val="00E76D26"/>
    <w:rsid w:val="00E800E1"/>
    <w:rsid w:val="00EA5A96"/>
    <w:rsid w:val="00EC1473"/>
    <w:rsid w:val="00EE392C"/>
    <w:rsid w:val="00EF00D1"/>
    <w:rsid w:val="00F00D46"/>
    <w:rsid w:val="00F17A41"/>
    <w:rsid w:val="00F45C1A"/>
    <w:rsid w:val="00F55469"/>
    <w:rsid w:val="00F82D75"/>
    <w:rsid w:val="00FD0108"/>
    <w:rsid w:val="00FD06DE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white"/>
    </o:shapedefaults>
    <o:shapelayout v:ext="edit">
      <o:idmap v:ext="edit" data="1"/>
    </o:shapelayout>
  </w:shapeDefaults>
  <w:decimalSymbol w:val="."/>
  <w:listSeparator w:val=","/>
  <w14:docId w14:val="32C03D8F"/>
  <w15:docId w15:val="{0E3C53E6-CE17-4201-8AE1-FA2B11C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2"/>
  </w:style>
  <w:style w:type="paragraph" w:styleId="Heading1">
    <w:name w:val="heading 1"/>
    <w:basedOn w:val="Normal"/>
    <w:next w:val="Normal"/>
    <w:qFormat/>
    <w:rsid w:val="00203CA2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03CA2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203CA2"/>
    <w:pPr>
      <w:keepNext/>
      <w:tabs>
        <w:tab w:val="left" w:pos="4965"/>
      </w:tabs>
      <w:outlineLvl w:val="2"/>
    </w:pPr>
    <w:rPr>
      <w:rFonts w:ascii="Arial" w:eastAsia="Arial Unicode MS" w:hAnsi="Arial" w:cs="Arial"/>
      <w:sz w:val="24"/>
    </w:rPr>
  </w:style>
  <w:style w:type="paragraph" w:styleId="Heading4">
    <w:name w:val="heading 4"/>
    <w:basedOn w:val="Normal"/>
    <w:next w:val="Normal"/>
    <w:qFormat/>
    <w:rsid w:val="00203CA2"/>
    <w:pPr>
      <w:keepNext/>
      <w:tabs>
        <w:tab w:val="left" w:pos="4965"/>
      </w:tabs>
      <w:jc w:val="center"/>
      <w:outlineLvl w:val="3"/>
    </w:pPr>
    <w:rPr>
      <w:rFonts w:ascii="Arial" w:eastAsia="Arial Unicode MS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F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3CA2"/>
    <w:pPr>
      <w:tabs>
        <w:tab w:val="left" w:pos="10421"/>
      </w:tabs>
      <w:jc w:val="center"/>
    </w:pPr>
    <w:rPr>
      <w:rFonts w:ascii="Arial" w:hAnsi="Arial" w:cs="Arial"/>
      <w:b/>
      <w:bCs/>
      <w:sz w:val="36"/>
      <w:szCs w:val="36"/>
    </w:rPr>
  </w:style>
  <w:style w:type="paragraph" w:styleId="Header">
    <w:name w:val="header"/>
    <w:basedOn w:val="Normal"/>
    <w:semiHidden/>
    <w:rsid w:val="00203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3CA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203CA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semiHidden/>
    <w:rsid w:val="00203C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03C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3CA2"/>
  </w:style>
  <w:style w:type="character" w:styleId="FollowedHyperlink">
    <w:name w:val="FollowedHyperlink"/>
    <w:basedOn w:val="DefaultParagraphFont"/>
    <w:semiHidden/>
    <w:rsid w:val="00203CA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203CA2"/>
    <w:rPr>
      <w:b/>
      <w:bCs/>
      <w:sz w:val="24"/>
      <w:szCs w:val="24"/>
    </w:rPr>
  </w:style>
  <w:style w:type="paragraph" w:styleId="BodyTextIndent">
    <w:name w:val="Body Text Indent"/>
    <w:basedOn w:val="Normal"/>
    <w:semiHidden/>
    <w:rsid w:val="00203CA2"/>
    <w:pPr>
      <w:ind w:left="36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semiHidden/>
    <w:rsid w:val="00203CA2"/>
  </w:style>
  <w:style w:type="paragraph" w:styleId="BodyText2">
    <w:name w:val="Body Text 2"/>
    <w:basedOn w:val="Normal"/>
    <w:semiHidden/>
    <w:rsid w:val="00203CA2"/>
    <w:rPr>
      <w:rFonts w:ascii="Arial" w:eastAsia="Arial Unicode MS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0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236F81"/>
    <w:rPr>
      <w:rFonts w:ascii="Cambria" w:eastAsia="Times New Roman" w:hAnsi="Cambria" w:cs="Times New Roman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6F7B6D"/>
    <w:pPr>
      <w:autoSpaceDE w:val="0"/>
      <w:autoSpaceDN w:val="0"/>
      <w:adjustRightInd w:val="0"/>
      <w:spacing w:line="221" w:lineRule="atLeast"/>
    </w:pPr>
    <w:rPr>
      <w:rFonts w:ascii="NewsGoth BT" w:hAnsi="NewsGoth BT"/>
      <w:sz w:val="24"/>
      <w:szCs w:val="24"/>
    </w:rPr>
  </w:style>
  <w:style w:type="character" w:customStyle="1" w:styleId="A5">
    <w:name w:val="A5"/>
    <w:uiPriority w:val="99"/>
    <w:rsid w:val="006F7B6D"/>
    <w:rPr>
      <w:rFonts w:cs="NewsGoth BT"/>
      <w:b/>
      <w:bCs/>
      <w:color w:val="C5112F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6F7B6D"/>
    <w:pPr>
      <w:autoSpaceDE w:val="0"/>
      <w:autoSpaceDN w:val="0"/>
      <w:adjustRightInd w:val="0"/>
      <w:spacing w:line="221" w:lineRule="atLeast"/>
    </w:pPr>
    <w:rPr>
      <w:rFonts w:ascii="NewsGoth BT" w:hAnsi="NewsGoth B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6F7B6D"/>
    <w:pPr>
      <w:autoSpaceDE w:val="0"/>
      <w:autoSpaceDN w:val="0"/>
      <w:adjustRightInd w:val="0"/>
      <w:spacing w:line="201" w:lineRule="atLeast"/>
    </w:pPr>
    <w:rPr>
      <w:rFonts w:ascii="NewsGoth BT" w:hAnsi="NewsGoth BT"/>
      <w:sz w:val="24"/>
      <w:szCs w:val="24"/>
    </w:rPr>
  </w:style>
  <w:style w:type="character" w:customStyle="1" w:styleId="A7">
    <w:name w:val="A7"/>
    <w:uiPriority w:val="99"/>
    <w:rsid w:val="006F7B6D"/>
    <w:rPr>
      <w:rFonts w:cs="NewsGoth BT"/>
      <w:i/>
      <w:iCs/>
      <w:color w:val="221E1F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4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5B4A"/>
  </w:style>
  <w:style w:type="character" w:customStyle="1" w:styleId="CommentSubjectChar">
    <w:name w:val="Comment Subject Char"/>
    <w:basedOn w:val="CommentTextChar"/>
    <w:link w:val="CommentSubject"/>
    <w:rsid w:val="00285B4A"/>
  </w:style>
  <w:style w:type="paragraph" w:styleId="ListParagraph">
    <w:name w:val="List Paragraph"/>
    <w:basedOn w:val="Normal"/>
    <w:uiPriority w:val="34"/>
    <w:qFormat/>
    <w:rsid w:val="00773272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F82D75"/>
    <w:pPr>
      <w:autoSpaceDE w:val="0"/>
      <w:autoSpaceDN w:val="0"/>
      <w:adjustRightInd w:val="0"/>
      <w:spacing w:line="201" w:lineRule="atLeast"/>
    </w:pPr>
    <w:rPr>
      <w:rFonts w:ascii="NewsGoth BT" w:hAnsi="NewsGoth BT"/>
      <w:sz w:val="24"/>
      <w:szCs w:val="24"/>
    </w:rPr>
  </w:style>
  <w:style w:type="character" w:customStyle="1" w:styleId="A8">
    <w:name w:val="A8"/>
    <w:uiPriority w:val="99"/>
    <w:rsid w:val="00F82D75"/>
    <w:rPr>
      <w:rFonts w:cs="NewsGoth BT"/>
      <w:b/>
      <w:bCs/>
      <w:i/>
      <w:iCs/>
      <w:color w:val="000000"/>
      <w:sz w:val="20"/>
      <w:szCs w:val="20"/>
      <w:u w:val="single"/>
    </w:rPr>
  </w:style>
  <w:style w:type="paragraph" w:customStyle="1" w:styleId="Pa1">
    <w:name w:val="Pa1"/>
    <w:basedOn w:val="Normal"/>
    <w:next w:val="Normal"/>
    <w:uiPriority w:val="99"/>
    <w:rsid w:val="00F82D75"/>
    <w:pPr>
      <w:autoSpaceDE w:val="0"/>
      <w:autoSpaceDN w:val="0"/>
      <w:adjustRightInd w:val="0"/>
      <w:spacing w:line="241" w:lineRule="atLeast"/>
    </w:pPr>
    <w:rPr>
      <w:rFonts w:ascii="NewsGoth BT" w:hAnsi="NewsGoth BT"/>
      <w:sz w:val="24"/>
      <w:szCs w:val="24"/>
    </w:rPr>
  </w:style>
  <w:style w:type="character" w:customStyle="1" w:styleId="A1">
    <w:name w:val="A1"/>
    <w:uiPriority w:val="99"/>
    <w:rsid w:val="00F82D75"/>
    <w:rPr>
      <w:rFonts w:cs="NewsGoth BT"/>
      <w:b/>
      <w:bCs/>
      <w:color w:val="000000"/>
    </w:rPr>
  </w:style>
  <w:style w:type="table" w:styleId="TableGrid">
    <w:name w:val="Table Grid"/>
    <w:basedOn w:val="TableNormal"/>
    <w:uiPriority w:val="59"/>
    <w:rsid w:val="00D5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0320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510c40578b4aebe619f067a363ae7257&amp;mc=true&amp;node=pt16.1.681&amp;rgn=div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a.edu/compliance/red-flags-rule-compli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.edu/compli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B266-2A96-4123-A5A6-3BD6A9A8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1031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Andrew Courtway</cp:lastModifiedBy>
  <cp:revision>55</cp:revision>
  <cp:lastPrinted>2018-11-07T15:36:00Z</cp:lastPrinted>
  <dcterms:created xsi:type="dcterms:W3CDTF">2018-04-17T16:54:00Z</dcterms:created>
  <dcterms:modified xsi:type="dcterms:W3CDTF">2018-11-27T16:23:00Z</dcterms:modified>
</cp:coreProperties>
</file>