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C3" w:rsidRDefault="001326C3"/>
    <w:p w:rsidR="001326C3" w:rsidRDefault="001326C3"/>
    <w:p w:rsidR="001326C3" w:rsidRDefault="001326C3"/>
    <w:p w:rsidR="001326C3" w:rsidRDefault="001326C3"/>
    <w:p w:rsidR="001326C3" w:rsidRDefault="001326C3"/>
    <w:p w:rsidR="001326C3" w:rsidRPr="001326C3" w:rsidRDefault="00D32DAF" w:rsidP="001326C3">
      <w:pPr>
        <w:spacing w:after="0" w:line="240" w:lineRule="auto"/>
        <w:jc w:val="center"/>
        <w:rPr>
          <w:b/>
          <w:sz w:val="120"/>
          <w:szCs w:val="120"/>
        </w:rPr>
      </w:pPr>
      <w:r>
        <w:rPr>
          <w:b/>
          <w:sz w:val="120"/>
          <w:szCs w:val="120"/>
        </w:rPr>
        <w:t>SPARKS</w:t>
      </w:r>
    </w:p>
    <w:p w:rsidR="001326C3" w:rsidRPr="001326C3" w:rsidRDefault="00D32DAF" w:rsidP="001326C3">
      <w:pPr>
        <w:spacing w:line="240" w:lineRule="auto"/>
        <w:jc w:val="center"/>
        <w:rPr>
          <w:sz w:val="32"/>
          <w:szCs w:val="32"/>
        </w:rPr>
      </w:pPr>
      <w:proofErr w:type="spellStart"/>
      <w:proofErr w:type="gramStart"/>
      <w:r>
        <w:rPr>
          <w:sz w:val="32"/>
          <w:szCs w:val="32"/>
        </w:rPr>
        <w:t>an</w:t>
      </w:r>
      <w:proofErr w:type="spellEnd"/>
      <w:proofErr w:type="gramEnd"/>
      <w:r>
        <w:rPr>
          <w:sz w:val="32"/>
          <w:szCs w:val="32"/>
        </w:rPr>
        <w:t xml:space="preserve"> after</w:t>
      </w:r>
      <w:r w:rsidR="0068077D">
        <w:rPr>
          <w:sz w:val="32"/>
          <w:szCs w:val="32"/>
        </w:rPr>
        <w:t xml:space="preserve"> </w:t>
      </w:r>
      <w:r>
        <w:rPr>
          <w:sz w:val="32"/>
          <w:szCs w:val="32"/>
        </w:rPr>
        <w:t>school collaboration</w:t>
      </w:r>
    </w:p>
    <w:p w:rsidR="001326C3" w:rsidRDefault="001326C3" w:rsidP="001326C3">
      <w:pPr>
        <w:jc w:val="center"/>
      </w:pPr>
    </w:p>
    <w:p w:rsidR="001326C3" w:rsidRDefault="001326C3" w:rsidP="001326C3">
      <w:pPr>
        <w:jc w:val="center"/>
      </w:pPr>
      <w:r>
        <w:t>Program Description</w:t>
      </w:r>
    </w:p>
    <w:p w:rsidR="001326C3" w:rsidRDefault="001326C3" w:rsidP="001326C3">
      <w:pPr>
        <w:jc w:val="center"/>
      </w:pPr>
      <w:r>
        <w:t>Prepared by Monte Jones</w:t>
      </w:r>
    </w:p>
    <w:p w:rsidR="001326C3" w:rsidRDefault="001326C3" w:rsidP="001326C3">
      <w:pPr>
        <w:jc w:val="center"/>
      </w:pPr>
      <w:r>
        <w:t>April 20, 2015</w:t>
      </w:r>
    </w:p>
    <w:p w:rsidR="001326C3" w:rsidRDefault="001326C3"/>
    <w:p w:rsidR="001326C3" w:rsidRDefault="001326C3"/>
    <w:p w:rsidR="001326C3" w:rsidRDefault="001326C3"/>
    <w:p w:rsidR="001326C3" w:rsidRDefault="001326C3"/>
    <w:p w:rsidR="001326C3" w:rsidRDefault="001326C3"/>
    <w:p w:rsidR="001326C3" w:rsidRDefault="001326C3"/>
    <w:p w:rsidR="001326C3" w:rsidRDefault="001326C3"/>
    <w:p w:rsidR="001326C3" w:rsidRDefault="001326C3"/>
    <w:p w:rsidR="001326C3" w:rsidRDefault="001326C3"/>
    <w:p w:rsidR="001326C3" w:rsidRDefault="001326C3"/>
    <w:p w:rsidR="001326C3" w:rsidRDefault="001326C3"/>
    <w:p w:rsidR="001326C3" w:rsidRDefault="001326C3"/>
    <w:p w:rsidR="00286299" w:rsidRDefault="00773E09">
      <w:r>
        <w:lastRenderedPageBreak/>
        <w:t xml:space="preserve">Will someone help me if I fail? Does anyone notice when I succeed? </w:t>
      </w:r>
      <w:r w:rsidR="00F31F06">
        <w:t xml:space="preserve">Does anyone care about what matters most to me? Is there a place where I can </w:t>
      </w:r>
      <w:r w:rsidR="00181315">
        <w:t>truly</w:t>
      </w:r>
      <w:r>
        <w:t xml:space="preserve"> </w:t>
      </w:r>
      <w:r w:rsidR="00F31F06">
        <w:t>be myself? These are real questions our youth are asking themselves</w:t>
      </w:r>
      <w:r w:rsidR="00F962A3">
        <w:t xml:space="preserve">. Now, </w:t>
      </w:r>
      <w:r w:rsidR="00D32DAF">
        <w:t>Conway, Arkansas</w:t>
      </w:r>
      <w:r>
        <w:t xml:space="preserve"> is</w:t>
      </w:r>
      <w:r w:rsidR="00F31F06">
        <w:t xml:space="preserve"> answering loud and clear: </w:t>
      </w:r>
      <w:r w:rsidR="00D32DAF">
        <w:t>Yes!</w:t>
      </w:r>
    </w:p>
    <w:p w:rsidR="00E606E4" w:rsidRDefault="00E606E4" w:rsidP="001E5863">
      <w:pPr>
        <w:pStyle w:val="Heading2"/>
      </w:pPr>
      <w:r>
        <w:t>The Need</w:t>
      </w:r>
    </w:p>
    <w:p w:rsidR="00E606E4" w:rsidRDefault="00E606E4">
      <w:r>
        <w:t>Ask parent</w:t>
      </w:r>
      <w:r w:rsidR="006510A2">
        <w:t>s</w:t>
      </w:r>
      <w:r>
        <w:t xml:space="preserve"> what they want for their child, </w:t>
      </w:r>
      <w:r w:rsidR="006510A2">
        <w:t xml:space="preserve">and listen closely to the answers. You will hear such words as joy, happiness, connection, engagement, fulfillment, kindness, compassion, and generosity. From infancy to old age, these traits are expressed in myriad ways; however, </w:t>
      </w:r>
      <w:r w:rsidR="00590B2B">
        <w:t xml:space="preserve">our experience, backed by scientific research, indicates </w:t>
      </w:r>
      <w:r w:rsidR="006510A2">
        <w:t xml:space="preserve">that there is only </w:t>
      </w:r>
      <w:r w:rsidR="004C5124">
        <w:t xml:space="preserve">one source: </w:t>
      </w:r>
      <w:r w:rsidR="004C5124" w:rsidRPr="005B5BAA">
        <w:rPr>
          <w:i/>
        </w:rPr>
        <w:t>relationships</w:t>
      </w:r>
      <w:r w:rsidR="004C5124">
        <w:t>. Search Institute, the leading organization in discovering what kids need to succeed, defines developmental relationships as “a close connection between a young person and an adult or peer that powerfully and positively shapes the young person’s identity and helps the young person develop a thriving mindset.”</w:t>
      </w:r>
      <w:r w:rsidR="005B5BAA">
        <w:t xml:space="preserve"> Such thriving, they attest, is linked closely to a person’s decisions and behaviors, increasing their likelihood to “work hard both inside and outside of school, and to develop a range of social and emotional skills that are essential for success in college, work, and civic life.”</w:t>
      </w:r>
    </w:p>
    <w:p w:rsidR="005B5BAA" w:rsidRDefault="005B5BAA">
      <w:r>
        <w:t xml:space="preserve">While a single relationship can be pivotal in a young person’s life, research shows that the greatest outcomes occur when youth have multiple developmental relationships across various environments. And what happens when a young person </w:t>
      </w:r>
      <w:r w:rsidR="00750267">
        <w:t xml:space="preserve">lacks these connections even from those closest to them? </w:t>
      </w:r>
      <w:r w:rsidR="00590B2B">
        <w:t>Studies show increased at-risk behaviors, lower graduation rates, and less drive to persevere into success. For them,</w:t>
      </w:r>
      <w:r w:rsidR="00750267">
        <w:t xml:space="preserve"> life is no longer about purpose, joy, or connectedness; rather, the theme of their life is being alone, empty, medicated, confused, and lost.</w:t>
      </w:r>
    </w:p>
    <w:p w:rsidR="00750267" w:rsidRDefault="00D311F9" w:rsidP="001E5863">
      <w:pPr>
        <w:pStyle w:val="Heading2"/>
      </w:pPr>
      <w:r>
        <w:t>The Solution</w:t>
      </w:r>
    </w:p>
    <w:p w:rsidR="00D311F9" w:rsidRDefault="00D311F9" w:rsidP="00D311F9">
      <w:r>
        <w:t xml:space="preserve">A positive, evidence-based afterschool program, </w:t>
      </w:r>
      <w:r w:rsidR="00D32DAF">
        <w:t xml:space="preserve">Sparks </w:t>
      </w:r>
      <w:r>
        <w:t>arrives as</w:t>
      </w:r>
      <w:r w:rsidR="00D32DAF">
        <w:t xml:space="preserve"> </w:t>
      </w:r>
      <w:proofErr w:type="gramStart"/>
      <w:r w:rsidR="00D32DAF">
        <w:t>a</w:t>
      </w:r>
      <w:r>
        <w:t xml:space="preserve"> </w:t>
      </w:r>
      <w:r w:rsidR="00D32DAF">
        <w:t>collaboration</w:t>
      </w:r>
      <w:proofErr w:type="gramEnd"/>
      <w:r>
        <w:t xml:space="preserve"> between several community partners, including Glenhaven Ministries, Choosing </w:t>
      </w:r>
      <w:r w:rsidR="005A7CC2">
        <w:t>2</w:t>
      </w:r>
      <w:r>
        <w:t xml:space="preserve"> Excel, Conway Public School Dis</w:t>
      </w:r>
      <w:r w:rsidR="00D32DAF">
        <w:t xml:space="preserve">trict, the Ministry Center, </w:t>
      </w:r>
      <w:r>
        <w:t xml:space="preserve">Pine Street </w:t>
      </w:r>
      <w:r w:rsidR="00D32DAF">
        <w:t xml:space="preserve">Community </w:t>
      </w:r>
      <w:r>
        <w:t>Development</w:t>
      </w:r>
      <w:r w:rsidR="00D32DAF">
        <w:t xml:space="preserve"> Center</w:t>
      </w:r>
      <w:r>
        <w:t xml:space="preserve">, and other local entities. </w:t>
      </w:r>
    </w:p>
    <w:p w:rsidR="00D311F9" w:rsidRDefault="00D311F9" w:rsidP="00D311F9">
      <w:r>
        <w:t xml:space="preserve">Beginning in the 2015 fall semester, </w:t>
      </w:r>
      <w:r w:rsidR="00D32DAF">
        <w:t>Sparks</w:t>
      </w:r>
      <w:r>
        <w:t xml:space="preserve"> will launch with 4</w:t>
      </w:r>
      <w:r w:rsidRPr="00D5273C">
        <w:rPr>
          <w:vertAlign w:val="superscript"/>
        </w:rPr>
        <w:t>th</w:t>
      </w:r>
      <w:r>
        <w:t>, 7</w:t>
      </w:r>
      <w:r w:rsidRPr="00D5273C">
        <w:rPr>
          <w:vertAlign w:val="superscript"/>
        </w:rPr>
        <w:t>th</w:t>
      </w:r>
      <w:r>
        <w:t>, 8</w:t>
      </w:r>
      <w:r w:rsidRPr="00D5273C">
        <w:rPr>
          <w:vertAlign w:val="superscript"/>
        </w:rPr>
        <w:t>th</w:t>
      </w:r>
      <w:r>
        <w:t>, and 9</w:t>
      </w:r>
      <w:r w:rsidRPr="00D5273C">
        <w:rPr>
          <w:vertAlign w:val="superscript"/>
        </w:rPr>
        <w:t>th</w:t>
      </w:r>
      <w:r>
        <w:t xml:space="preserve"> grade students. Starting with </w:t>
      </w:r>
      <w:r w:rsidR="00590B2B">
        <w:t xml:space="preserve">boys and girls in </w:t>
      </w:r>
      <w:r>
        <w:t xml:space="preserve">these grades accomplishes </w:t>
      </w:r>
      <w:r w:rsidR="005A7CC2">
        <w:t>three</w:t>
      </w:r>
      <w:r>
        <w:t xml:space="preserve"> purposes:</w:t>
      </w:r>
    </w:p>
    <w:p w:rsidR="00D311F9" w:rsidRDefault="00D311F9" w:rsidP="00D311F9">
      <w:pPr>
        <w:pStyle w:val="ListParagraph"/>
        <w:numPr>
          <w:ilvl w:val="0"/>
          <w:numId w:val="1"/>
        </w:numPr>
      </w:pPr>
      <w:r>
        <w:t xml:space="preserve">We </w:t>
      </w:r>
      <w:r w:rsidR="00F962A3">
        <w:t>will</w:t>
      </w:r>
      <w:r>
        <w:t xml:space="preserve"> immediately start working among students in the most critical grades. 4</w:t>
      </w:r>
      <w:r w:rsidRPr="00D311F9">
        <w:rPr>
          <w:vertAlign w:val="superscript"/>
        </w:rPr>
        <w:t>th</w:t>
      </w:r>
      <w:r>
        <w:t xml:space="preserve"> grade is the transitional grade from “learning to read” </w:t>
      </w:r>
      <w:r w:rsidR="00590B2B">
        <w:t>into</w:t>
      </w:r>
      <w:r>
        <w:t xml:space="preserve"> “reading to learn” which demands more homework and engagement from the students. Furthermore, 4</w:t>
      </w:r>
      <w:r w:rsidRPr="00D311F9">
        <w:rPr>
          <w:vertAlign w:val="superscript"/>
        </w:rPr>
        <w:t>th</w:t>
      </w:r>
      <w:r>
        <w:t xml:space="preserve"> grade students usually begin making friends who significantly influence their social and behavioral decisions. </w:t>
      </w:r>
      <w:r w:rsidR="0054610F">
        <w:t xml:space="preserve">If negative relationships are formed and the student gets on a detrimental path, the </w:t>
      </w:r>
      <w:r>
        <w:t>7</w:t>
      </w:r>
      <w:r w:rsidRPr="00D311F9">
        <w:rPr>
          <w:vertAlign w:val="superscript"/>
        </w:rPr>
        <w:t>th</w:t>
      </w:r>
      <w:r>
        <w:t>, 8</w:t>
      </w:r>
      <w:r w:rsidRPr="00D311F9">
        <w:rPr>
          <w:vertAlign w:val="superscript"/>
        </w:rPr>
        <w:t>th</w:t>
      </w:r>
      <w:r>
        <w:t>, and 9</w:t>
      </w:r>
      <w:r w:rsidRPr="00D311F9">
        <w:rPr>
          <w:vertAlign w:val="superscript"/>
        </w:rPr>
        <w:t>th</w:t>
      </w:r>
      <w:r>
        <w:t xml:space="preserve"> grades are the </w:t>
      </w:r>
      <w:r w:rsidR="0054610F">
        <w:t>times</w:t>
      </w:r>
      <w:r w:rsidR="00590B2B">
        <w:t xml:space="preserve"> when these decisions begin to blossom, resulting in</w:t>
      </w:r>
      <w:r w:rsidR="005A7CC2">
        <w:t xml:space="preserve"> the highest In-School-Suspension and Alternative Learning Environment placements.</w:t>
      </w:r>
    </w:p>
    <w:p w:rsidR="005A7CC2" w:rsidRDefault="00F962A3" w:rsidP="00D311F9">
      <w:pPr>
        <w:pStyle w:val="ListParagraph"/>
        <w:numPr>
          <w:ilvl w:val="0"/>
          <w:numId w:val="1"/>
        </w:numPr>
      </w:pPr>
      <w:r>
        <w:t>As</w:t>
      </w:r>
      <w:r w:rsidR="005A7CC2">
        <w:t xml:space="preserve"> </w:t>
      </w:r>
      <w:r w:rsidR="00D32DAF">
        <w:t>Sparks</w:t>
      </w:r>
      <w:r w:rsidR="005A7CC2">
        <w:t xml:space="preserve"> </w:t>
      </w:r>
      <w:r w:rsidR="00D32DAF">
        <w:t xml:space="preserve">is expected to </w:t>
      </w:r>
      <w:r w:rsidR="005A7CC2">
        <w:t xml:space="preserve">grow each year to add grades as these initial students enter them, we will be </w:t>
      </w:r>
      <w:r w:rsidR="00A160DC">
        <w:t xml:space="preserve">able to </w:t>
      </w:r>
      <w:r w:rsidR="00D32DAF">
        <w:t>expand</w:t>
      </w:r>
      <w:r w:rsidR="00A160DC">
        <w:t xml:space="preserve"> at a manageable rate, </w:t>
      </w:r>
      <w:r w:rsidR="005A7CC2">
        <w:t>working with grades 4-12 in four years.</w:t>
      </w:r>
    </w:p>
    <w:p w:rsidR="005A7CC2" w:rsidRDefault="005A7CC2" w:rsidP="00D311F9">
      <w:pPr>
        <w:pStyle w:val="ListParagraph"/>
        <w:numPr>
          <w:ilvl w:val="0"/>
          <w:numId w:val="1"/>
        </w:numPr>
      </w:pPr>
      <w:r>
        <w:t xml:space="preserve">After four years, </w:t>
      </w:r>
      <w:r w:rsidR="00D32DAF">
        <w:t>Sparks</w:t>
      </w:r>
      <w:r>
        <w:t xml:space="preserve"> will be able to report on comparative graduation rates bet</w:t>
      </w:r>
      <w:r w:rsidR="00A160DC">
        <w:t>ween program participants and non</w:t>
      </w:r>
      <w:r>
        <w:t>participating students.</w:t>
      </w:r>
    </w:p>
    <w:p w:rsidR="00D311F9" w:rsidRDefault="00A160DC" w:rsidP="00D311F9">
      <w:r>
        <w:lastRenderedPageBreak/>
        <w:t>The Conway School District counselors will advocate and coordinate the participation of up to fifty students from grades 4, 7, 8, and 9</w:t>
      </w:r>
      <w:r w:rsidR="00D311F9">
        <w:t xml:space="preserve"> who are displaying at-risk behavioral issues and whose parents are willing to provide transportation home from the program.</w:t>
      </w:r>
      <w:r>
        <w:t xml:space="preserve"> </w:t>
      </w:r>
      <w:r w:rsidR="00D32DAF">
        <w:t>Sparks</w:t>
      </w:r>
      <w:r>
        <w:t xml:space="preserve"> will administer Developmental Asset Profile surveys for each student in order to establish a basel</w:t>
      </w:r>
      <w:r w:rsidR="00583355">
        <w:t>ine of need among these students. A post-survey will also be conducted to demonstrate program effectiveness and specific impact. Created by Search Institute, these surveys have been used with more than four million young people to show that “the more Developmental Assets young people have, the more likely they are to be prepared for life and the less likely they are to engage in a wide range of high-risk behaviors.”</w:t>
      </w:r>
    </w:p>
    <w:p w:rsidR="00583355" w:rsidRPr="00587CD5" w:rsidRDefault="00583355" w:rsidP="00583355">
      <w:r>
        <w:t xml:space="preserve">Starting at 3:30 PM Monday through Thursday, students arrive by van from school to the centrally located </w:t>
      </w:r>
      <w:r w:rsidR="00D32DAF">
        <w:t>Sparks</w:t>
      </w:r>
      <w:r>
        <w:t xml:space="preserve"> campus at the Ministry Center. Students are escorted upstairs to the 10,000 square foot facility originally designed and utilized as a school. Over the next two hours, students will enjoy a healthy snack provided by Pine Street Development, followed by “decompression” activities to transition from the school day. Next, students will engage a daily rotating schedule of Academic Tutoring, Character Training, </w:t>
      </w:r>
      <w:r w:rsidR="00D32DAF">
        <w:t xml:space="preserve">and </w:t>
      </w:r>
      <w:r>
        <w:t>Igniting Sparks.</w:t>
      </w:r>
    </w:p>
    <w:p w:rsidR="00583355" w:rsidRDefault="00583355" w:rsidP="00583355">
      <w:pPr>
        <w:pStyle w:val="ListParagraph"/>
        <w:numPr>
          <w:ilvl w:val="0"/>
          <w:numId w:val="2"/>
        </w:numPr>
      </w:pPr>
      <w:r>
        <w:rPr>
          <w:b/>
        </w:rPr>
        <w:t xml:space="preserve">Academic </w:t>
      </w:r>
      <w:r w:rsidRPr="00A55985">
        <w:rPr>
          <w:b/>
        </w:rPr>
        <w:t>Tutoring</w:t>
      </w:r>
      <w:r>
        <w:t xml:space="preserve"> – </w:t>
      </w:r>
      <w:r w:rsidR="00D32DAF">
        <w:t>Qualified</w:t>
      </w:r>
      <w:r>
        <w:t xml:space="preserve"> teachers </w:t>
      </w:r>
      <w:r w:rsidR="00502620">
        <w:t xml:space="preserve">with Glenhaven </w:t>
      </w:r>
      <w:r>
        <w:t xml:space="preserve">meet students where they are in their academic journey and help with time management and </w:t>
      </w:r>
      <w:r w:rsidR="00B25A33">
        <w:t>topic mastery for their specific homework and remediation needs, as communicated by their school counselor.</w:t>
      </w:r>
    </w:p>
    <w:p w:rsidR="00583355" w:rsidRDefault="00583355" w:rsidP="00583355">
      <w:pPr>
        <w:pStyle w:val="ListParagraph"/>
        <w:numPr>
          <w:ilvl w:val="0"/>
          <w:numId w:val="2"/>
        </w:numPr>
      </w:pPr>
      <w:r w:rsidRPr="00A55985">
        <w:rPr>
          <w:b/>
        </w:rPr>
        <w:t>Character Training</w:t>
      </w:r>
      <w:r>
        <w:t xml:space="preserve"> – </w:t>
      </w:r>
      <w:r w:rsidR="00B25A33">
        <w:t xml:space="preserve">Through a partnership with Choosing 2 Excel, </w:t>
      </w:r>
      <w:r w:rsidR="00D32DAF">
        <w:t>Sparks</w:t>
      </w:r>
      <w:r w:rsidR="00B25A33">
        <w:t xml:space="preserve"> mobilizes 19 years of remarkable success in engaging minority and at-risk populations in elementary, middle, junior high, and high schools across Central Arkansas.</w:t>
      </w:r>
      <w:r>
        <w:t xml:space="preserve"> </w:t>
      </w:r>
      <w:r w:rsidR="00F962A3">
        <w:t>These f</w:t>
      </w:r>
      <w:r>
        <w:t xml:space="preserve">acilitators and special guest speakers from the local community </w:t>
      </w:r>
      <w:r w:rsidR="00502620">
        <w:t>will</w:t>
      </w:r>
      <w:r>
        <w:t xml:space="preserve"> </w:t>
      </w:r>
      <w:r w:rsidR="00502620">
        <w:t>connect with</w:t>
      </w:r>
      <w:r>
        <w:t xml:space="preserve"> </w:t>
      </w:r>
      <w:r w:rsidR="00502620">
        <w:t>students</w:t>
      </w:r>
      <w:r>
        <w:t xml:space="preserve"> in dialogue and interactive games</w:t>
      </w:r>
      <w:r w:rsidR="00502620">
        <w:t xml:space="preserve"> that impart future planning and wise decision making.</w:t>
      </w:r>
    </w:p>
    <w:p w:rsidR="00D32DAF" w:rsidRDefault="00502620" w:rsidP="00D32DAF">
      <w:pPr>
        <w:pStyle w:val="ListParagraph"/>
        <w:numPr>
          <w:ilvl w:val="0"/>
          <w:numId w:val="2"/>
        </w:numPr>
      </w:pPr>
      <w:r>
        <w:rPr>
          <w:b/>
        </w:rPr>
        <w:t xml:space="preserve">Igniting </w:t>
      </w:r>
      <w:r w:rsidR="00583355" w:rsidRPr="00A55985">
        <w:rPr>
          <w:b/>
        </w:rPr>
        <w:t>Sparks</w:t>
      </w:r>
      <w:r w:rsidR="00583355">
        <w:t xml:space="preserve"> – </w:t>
      </w:r>
      <w:r>
        <w:t>Glenhaven staff and volunteers invest in students</w:t>
      </w:r>
      <w:r w:rsidR="00583355">
        <w:t xml:space="preserve"> </w:t>
      </w:r>
      <w:r>
        <w:t xml:space="preserve">to help them </w:t>
      </w:r>
      <w:r w:rsidR="00583355">
        <w:t>identify their Spark</w:t>
      </w:r>
      <w:r>
        <w:t>s</w:t>
      </w:r>
      <w:r w:rsidR="00583355">
        <w:t xml:space="preserve">, </w:t>
      </w:r>
      <w:r>
        <w:t xml:space="preserve">those interests and passions that mean the most to them, and to match them with </w:t>
      </w:r>
      <w:r w:rsidR="00583355">
        <w:t xml:space="preserve">dedicated Spark Champions </w:t>
      </w:r>
      <w:r>
        <w:t>who</w:t>
      </w:r>
      <w:r w:rsidR="00583355">
        <w:t xml:space="preserve"> provide </w:t>
      </w:r>
      <w:r>
        <w:t xml:space="preserve">encouragement and </w:t>
      </w:r>
      <w:r w:rsidR="00583355">
        <w:t xml:space="preserve">opportunities for </w:t>
      </w:r>
      <w:r>
        <w:t>students to express their Spark.</w:t>
      </w:r>
    </w:p>
    <w:p w:rsidR="00583355" w:rsidRDefault="00D32DAF" w:rsidP="00D32DAF">
      <w:r>
        <w:t xml:space="preserve"> </w:t>
      </w:r>
      <w:r w:rsidR="00583355">
        <w:t xml:space="preserve">At 5:30, parents will arrive to pick up their children. This provides an integral “touch point” between </w:t>
      </w:r>
      <w:proofErr w:type="gramStart"/>
      <w:r>
        <w:t>Sparks</w:t>
      </w:r>
      <w:proofErr w:type="gramEnd"/>
      <w:r w:rsidR="00583355">
        <w:t xml:space="preserve"> staff and the parents of the students. To strengthen the opportunity for families to be engaged in their child’s development, </w:t>
      </w:r>
      <w:r>
        <w:t>Sparks</w:t>
      </w:r>
      <w:r w:rsidR="00AA4099">
        <w:t xml:space="preserve"> </w:t>
      </w:r>
      <w:r w:rsidR="00583355">
        <w:t xml:space="preserve">will periodically host a meal, inviting families to stay into the evening for food, fellowship, and insights into their child’s strengths, struggles, and </w:t>
      </w:r>
      <w:r>
        <w:t>interests</w:t>
      </w:r>
      <w:r w:rsidR="00583355">
        <w:t xml:space="preserve">, empowering them to </w:t>
      </w:r>
      <w:r w:rsidR="00AA4099">
        <w:t>strengthen their integral relationships</w:t>
      </w:r>
      <w:r w:rsidR="00583355">
        <w:t>.</w:t>
      </w:r>
    </w:p>
    <w:p w:rsidR="00F962A3" w:rsidRDefault="00F962A3" w:rsidP="00583355"/>
    <w:p w:rsidR="00F962A3" w:rsidRDefault="00F962A3" w:rsidP="00AA4099"/>
    <w:p w:rsidR="00D32DAF" w:rsidRDefault="00D32DAF" w:rsidP="00AA4099"/>
    <w:p w:rsidR="00F962A3" w:rsidRDefault="00F962A3" w:rsidP="00F962A3">
      <w:pPr>
        <w:pStyle w:val="Heading2"/>
      </w:pPr>
      <w:r>
        <w:lastRenderedPageBreak/>
        <w:t>Methodology</w:t>
      </w:r>
    </w:p>
    <w:p w:rsidR="00D311F9" w:rsidRDefault="00AA4099" w:rsidP="00AA4099">
      <w:r>
        <w:t xml:space="preserve">As a foundation for all activities, </w:t>
      </w:r>
      <w:r w:rsidR="00D32DAF">
        <w:t>Sparks</w:t>
      </w:r>
      <w:r>
        <w:t xml:space="preserve"> is adopting the Developmental Relationships Framework created by the Search Institute. All staff, volunteers, and parents will be trained in how to form and fortify relationships that unlock a youth’s potential: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A4099" w:rsidTr="00AA4099">
        <w:tc>
          <w:tcPr>
            <w:tcW w:w="9576" w:type="dxa"/>
          </w:tcPr>
          <w:p w:rsidR="00AA4099" w:rsidRDefault="00AA4099" w:rsidP="00AA4099">
            <w:pPr>
              <w:jc w:val="center"/>
              <w:rPr>
                <w:noProof/>
              </w:rPr>
            </w:pPr>
            <w:r>
              <w:rPr>
                <w:noProof/>
              </w:rPr>
              <w:drawing>
                <wp:inline distT="0" distB="0" distL="0" distR="0">
                  <wp:extent cx="5934710" cy="4770120"/>
                  <wp:effectExtent l="19050" t="0" r="8890" b="0"/>
                  <wp:docPr id="2" name="Picture 1" descr="C:\Users\Monte\Google Drive\Administration\Organization Management\Expansion &amp; Innovation\Developmental Relationships 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e\Google Drive\Administration\Organization Management\Expansion &amp; Innovation\Developmental Relationships Framework.jpg"/>
                          <pic:cNvPicPr>
                            <a:picLocks noChangeAspect="1" noChangeArrowheads="1"/>
                          </pic:cNvPicPr>
                        </pic:nvPicPr>
                        <pic:blipFill>
                          <a:blip r:embed="rId5" cstate="print"/>
                          <a:srcRect/>
                          <a:stretch>
                            <a:fillRect/>
                          </a:stretch>
                        </pic:blipFill>
                        <pic:spPr bwMode="auto">
                          <a:xfrm>
                            <a:off x="0" y="0"/>
                            <a:ext cx="5934710" cy="4770120"/>
                          </a:xfrm>
                          <a:prstGeom prst="rect">
                            <a:avLst/>
                          </a:prstGeom>
                          <a:noFill/>
                          <a:ln w="9525">
                            <a:noFill/>
                            <a:miter lim="800000"/>
                            <a:headEnd/>
                            <a:tailEnd/>
                          </a:ln>
                        </pic:spPr>
                      </pic:pic>
                    </a:graphicData>
                  </a:graphic>
                </wp:inline>
              </w:drawing>
            </w:r>
          </w:p>
        </w:tc>
      </w:tr>
    </w:tbl>
    <w:p w:rsidR="00AA4099" w:rsidRDefault="00AA4099" w:rsidP="00AA4099">
      <w:pPr>
        <w:rPr>
          <w:noProof/>
        </w:rPr>
      </w:pPr>
    </w:p>
    <w:p w:rsidR="00D32DAF" w:rsidRDefault="00D32DAF" w:rsidP="00AA4099">
      <w:pPr>
        <w:rPr>
          <w:noProof/>
        </w:rPr>
      </w:pPr>
      <w:r>
        <w:rPr>
          <w:noProof/>
        </w:rPr>
        <w:t xml:space="preserve">Additional training is centered on Trust-Based Relational Interventions. </w:t>
      </w:r>
      <w:r w:rsidRPr="00D32DAF">
        <w:rPr>
          <w:noProof/>
        </w:rPr>
        <w:t>Developed by Dr. Karyn Purvis and Dr. David Cross at the TCU Institute of Child Development, Trust-</w:t>
      </w:r>
      <w:r>
        <w:rPr>
          <w:noProof/>
        </w:rPr>
        <w:t xml:space="preserve">Based Relational Interventions </w:t>
      </w:r>
      <w:r w:rsidRPr="00D32DAF">
        <w:rPr>
          <w:noProof/>
        </w:rPr>
        <w:t>is an emerging intervention model for a wide range of childhood behavioral problems.</w:t>
      </w:r>
      <w:r>
        <w:rPr>
          <w:noProof/>
        </w:rPr>
        <w:t xml:space="preserve"> These concepts work hand-in-hand with the Developmental Relationships model of the Search Institute.</w:t>
      </w:r>
    </w:p>
    <w:p w:rsidR="00AA4099" w:rsidRDefault="00AA4099" w:rsidP="00AA4099">
      <w:pPr>
        <w:rPr>
          <w:noProof/>
        </w:rPr>
      </w:pPr>
    </w:p>
    <w:p w:rsidR="00AA4099" w:rsidRDefault="00AA4099" w:rsidP="00AA4099">
      <w:pPr>
        <w:rPr>
          <w:noProof/>
        </w:rPr>
      </w:pPr>
    </w:p>
    <w:p w:rsidR="00AA4099" w:rsidRDefault="00AA4099" w:rsidP="00AA4099">
      <w:pPr>
        <w:rPr>
          <w:noProof/>
        </w:rPr>
      </w:pPr>
    </w:p>
    <w:p w:rsidR="00F962A3" w:rsidRDefault="00F962A3" w:rsidP="00AA4099">
      <w:pPr>
        <w:rPr>
          <w:noProof/>
        </w:rPr>
      </w:pPr>
    </w:p>
    <w:p w:rsidR="00AA4099" w:rsidRDefault="00D32DAF" w:rsidP="0054610F">
      <w:pPr>
        <w:pStyle w:val="Heading2"/>
        <w:spacing w:before="0" w:after="240"/>
        <w:rPr>
          <w:noProof/>
        </w:rPr>
      </w:pPr>
      <w:r>
        <w:rPr>
          <w:noProof/>
        </w:rPr>
        <w:lastRenderedPageBreak/>
        <w:t>Sparks</w:t>
      </w:r>
      <w:r w:rsidR="00AA4099">
        <w:rPr>
          <w:noProof/>
        </w:rPr>
        <w:t xml:space="preserve"> Logic Model</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8"/>
        <w:gridCol w:w="544"/>
        <w:gridCol w:w="2901"/>
        <w:gridCol w:w="544"/>
        <w:gridCol w:w="2828"/>
      </w:tblGrid>
      <w:tr w:rsidR="00AA4099" w:rsidRPr="00A649AC" w:rsidTr="00CD73F1">
        <w:trPr>
          <w:trHeight w:val="283"/>
        </w:trPr>
        <w:tc>
          <w:tcPr>
            <w:tcW w:w="2828" w:type="dxa"/>
          </w:tcPr>
          <w:p w:rsidR="00AA4099" w:rsidRPr="00A649AC" w:rsidRDefault="00AA4099" w:rsidP="00812A41">
            <w:pPr>
              <w:jc w:val="center"/>
              <w:rPr>
                <w:b/>
                <w:sz w:val="24"/>
                <w:szCs w:val="24"/>
              </w:rPr>
            </w:pPr>
            <w:r w:rsidRPr="00A649AC">
              <w:rPr>
                <w:b/>
                <w:sz w:val="24"/>
                <w:szCs w:val="24"/>
              </w:rPr>
              <w:t>Inputs</w:t>
            </w:r>
          </w:p>
        </w:tc>
        <w:tc>
          <w:tcPr>
            <w:tcW w:w="544" w:type="dxa"/>
            <w:shd w:val="clear" w:color="auto" w:fill="F2F2F2" w:themeFill="background1" w:themeFillShade="F2"/>
          </w:tcPr>
          <w:p w:rsidR="00AA4099" w:rsidRPr="00A649AC" w:rsidRDefault="00B64834" w:rsidP="00812A41">
            <w:pPr>
              <w:jc w:val="center"/>
              <w:rPr>
                <w:b/>
                <w:sz w:val="24"/>
                <w:szCs w:val="24"/>
              </w:rPr>
            </w:pPr>
            <w:r>
              <w:rPr>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65pt;margin-top:2.5pt;width:23.25pt;height:7.15pt;z-index:251652096;mso-position-horizontal-relative:text;mso-position-vertical-relative:text"/>
              </w:pict>
            </w:r>
          </w:p>
        </w:tc>
        <w:tc>
          <w:tcPr>
            <w:tcW w:w="2901" w:type="dxa"/>
          </w:tcPr>
          <w:p w:rsidR="00AA4099" w:rsidRPr="00A649AC" w:rsidRDefault="00AA4099" w:rsidP="00812A41">
            <w:pPr>
              <w:jc w:val="center"/>
              <w:rPr>
                <w:b/>
                <w:sz w:val="24"/>
                <w:szCs w:val="24"/>
              </w:rPr>
            </w:pPr>
            <w:r w:rsidRPr="00A649AC">
              <w:rPr>
                <w:b/>
                <w:sz w:val="24"/>
                <w:szCs w:val="24"/>
              </w:rPr>
              <w:t>Outputs (Activities)</w:t>
            </w:r>
          </w:p>
        </w:tc>
        <w:tc>
          <w:tcPr>
            <w:tcW w:w="544" w:type="dxa"/>
            <w:shd w:val="clear" w:color="auto" w:fill="F2F2F2" w:themeFill="background1" w:themeFillShade="F2"/>
          </w:tcPr>
          <w:p w:rsidR="00AA4099" w:rsidRPr="00A649AC" w:rsidRDefault="00B64834" w:rsidP="00812A41">
            <w:pPr>
              <w:jc w:val="center"/>
              <w:rPr>
                <w:b/>
                <w:sz w:val="24"/>
                <w:szCs w:val="24"/>
              </w:rPr>
            </w:pPr>
            <w:r>
              <w:rPr>
                <w:b/>
                <w:noProof/>
                <w:sz w:val="24"/>
                <w:szCs w:val="24"/>
              </w:rPr>
              <w:pict>
                <v:shape id="_x0000_s1027" type="#_x0000_t13" style="position:absolute;left:0;text-align:left;margin-left:-2.4pt;margin-top:2.5pt;width:23.25pt;height:7.15pt;z-index:251653120;mso-position-horizontal-relative:text;mso-position-vertical-relative:text"/>
              </w:pict>
            </w:r>
          </w:p>
        </w:tc>
        <w:tc>
          <w:tcPr>
            <w:tcW w:w="2828" w:type="dxa"/>
          </w:tcPr>
          <w:p w:rsidR="00AA4099" w:rsidRPr="00A649AC" w:rsidRDefault="00AA4099" w:rsidP="00812A41">
            <w:pPr>
              <w:jc w:val="center"/>
              <w:rPr>
                <w:b/>
                <w:sz w:val="24"/>
                <w:szCs w:val="24"/>
              </w:rPr>
            </w:pPr>
            <w:r w:rsidRPr="00A649AC">
              <w:rPr>
                <w:b/>
                <w:sz w:val="24"/>
                <w:szCs w:val="24"/>
              </w:rPr>
              <w:t>Targeted Outcomes</w:t>
            </w:r>
          </w:p>
        </w:tc>
      </w:tr>
      <w:tr w:rsidR="00AA4099" w:rsidTr="00CD73F1">
        <w:trPr>
          <w:trHeight w:val="2279"/>
        </w:trPr>
        <w:tc>
          <w:tcPr>
            <w:tcW w:w="2828" w:type="dxa"/>
            <w:vMerge w:val="restart"/>
          </w:tcPr>
          <w:p w:rsidR="00AA4099" w:rsidRPr="00522457" w:rsidRDefault="00AA4099" w:rsidP="00812A41">
            <w:pPr>
              <w:rPr>
                <w:sz w:val="21"/>
                <w:szCs w:val="21"/>
              </w:rPr>
            </w:pPr>
            <w:r>
              <w:rPr>
                <w:b/>
                <w:sz w:val="21"/>
                <w:szCs w:val="21"/>
              </w:rPr>
              <w:t xml:space="preserve">Participants: </w:t>
            </w:r>
            <w:r w:rsidR="00D32DAF" w:rsidRPr="00D32DAF">
              <w:rPr>
                <w:sz w:val="21"/>
                <w:szCs w:val="21"/>
              </w:rPr>
              <w:t>up to</w:t>
            </w:r>
            <w:r w:rsidR="00D32DAF">
              <w:rPr>
                <w:b/>
                <w:sz w:val="21"/>
                <w:szCs w:val="21"/>
              </w:rPr>
              <w:t xml:space="preserve"> </w:t>
            </w:r>
            <w:r>
              <w:rPr>
                <w:sz w:val="21"/>
                <w:szCs w:val="21"/>
              </w:rPr>
              <w:t>50 students selected from Conway School District’s 4</w:t>
            </w:r>
            <w:r w:rsidRPr="00F058F8">
              <w:rPr>
                <w:sz w:val="21"/>
                <w:szCs w:val="21"/>
                <w:vertAlign w:val="superscript"/>
              </w:rPr>
              <w:t>th</w:t>
            </w:r>
            <w:r>
              <w:rPr>
                <w:sz w:val="21"/>
                <w:szCs w:val="21"/>
              </w:rPr>
              <w:t>, 7</w:t>
            </w:r>
            <w:r w:rsidRPr="00F058F8">
              <w:rPr>
                <w:sz w:val="21"/>
                <w:szCs w:val="21"/>
                <w:vertAlign w:val="superscript"/>
              </w:rPr>
              <w:t>th</w:t>
            </w:r>
            <w:r>
              <w:rPr>
                <w:sz w:val="21"/>
                <w:szCs w:val="21"/>
              </w:rPr>
              <w:t>, 8</w:t>
            </w:r>
            <w:r w:rsidRPr="00F058F8">
              <w:rPr>
                <w:sz w:val="21"/>
                <w:szCs w:val="21"/>
                <w:vertAlign w:val="superscript"/>
              </w:rPr>
              <w:t>th</w:t>
            </w:r>
            <w:r>
              <w:rPr>
                <w:sz w:val="21"/>
                <w:szCs w:val="21"/>
              </w:rPr>
              <w:t>, and 9</w:t>
            </w:r>
            <w:r w:rsidRPr="00F058F8">
              <w:rPr>
                <w:sz w:val="21"/>
                <w:szCs w:val="21"/>
                <w:vertAlign w:val="superscript"/>
              </w:rPr>
              <w:t>th</w:t>
            </w:r>
            <w:r>
              <w:rPr>
                <w:sz w:val="21"/>
                <w:szCs w:val="21"/>
              </w:rPr>
              <w:t xml:space="preserve"> grades</w:t>
            </w:r>
          </w:p>
          <w:p w:rsidR="00AA4099" w:rsidRDefault="00AA4099" w:rsidP="00812A41">
            <w:pPr>
              <w:rPr>
                <w:b/>
                <w:sz w:val="21"/>
                <w:szCs w:val="21"/>
              </w:rPr>
            </w:pPr>
          </w:p>
          <w:p w:rsidR="00AA4099" w:rsidRPr="00A51961" w:rsidRDefault="00AA4099" w:rsidP="00812A41">
            <w:pPr>
              <w:rPr>
                <w:sz w:val="21"/>
                <w:szCs w:val="21"/>
              </w:rPr>
            </w:pPr>
            <w:r w:rsidRPr="00A51961">
              <w:rPr>
                <w:b/>
                <w:sz w:val="21"/>
                <w:szCs w:val="21"/>
              </w:rPr>
              <w:t>Personnel:</w:t>
            </w:r>
            <w:r w:rsidRPr="00A51961">
              <w:rPr>
                <w:sz w:val="21"/>
                <w:szCs w:val="21"/>
              </w:rPr>
              <w:t xml:space="preserve"> Program Director, part-time Teachers, Character Trainers, </w:t>
            </w:r>
            <w:r>
              <w:rPr>
                <w:sz w:val="21"/>
                <w:szCs w:val="21"/>
              </w:rPr>
              <w:t xml:space="preserve">drivers, </w:t>
            </w:r>
            <w:r w:rsidRPr="00A51961">
              <w:rPr>
                <w:sz w:val="21"/>
                <w:szCs w:val="21"/>
              </w:rPr>
              <w:t>volunteers, interns, special guests</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 xml:space="preserve">Partnerships: </w:t>
            </w:r>
            <w:r w:rsidRPr="00A51961">
              <w:rPr>
                <w:sz w:val="21"/>
                <w:szCs w:val="21"/>
              </w:rPr>
              <w:t xml:space="preserve">Glenhaven Ministries, Choosing 2 Excel, the Ministry Center, </w:t>
            </w:r>
            <w:r w:rsidR="00D32DAF">
              <w:rPr>
                <w:sz w:val="21"/>
                <w:szCs w:val="21"/>
              </w:rPr>
              <w:t xml:space="preserve">Conway Public School District, </w:t>
            </w:r>
            <w:r>
              <w:rPr>
                <w:sz w:val="21"/>
                <w:szCs w:val="21"/>
              </w:rPr>
              <w:t>Pine Street Development,</w:t>
            </w:r>
            <w:r w:rsidRPr="00A51961">
              <w:rPr>
                <w:sz w:val="21"/>
                <w:szCs w:val="21"/>
              </w:rPr>
              <w:t xml:space="preserve"> local churches, families</w:t>
            </w:r>
            <w:r>
              <w:rPr>
                <w:sz w:val="21"/>
                <w:szCs w:val="21"/>
              </w:rPr>
              <w:t xml:space="preserve"> </w:t>
            </w:r>
            <w:r w:rsidRPr="00F058F8">
              <w:rPr>
                <w:i/>
                <w:sz w:val="21"/>
                <w:szCs w:val="21"/>
              </w:rPr>
              <w:t>(Memorandums of Understanding are available upon request</w:t>
            </w:r>
            <w:r>
              <w:rPr>
                <w:i/>
                <w:sz w:val="21"/>
                <w:szCs w:val="21"/>
              </w:rPr>
              <w:t>.</w:t>
            </w:r>
            <w:r w:rsidRPr="00F058F8">
              <w:rPr>
                <w:i/>
                <w:sz w:val="21"/>
                <w:szCs w:val="21"/>
              </w:rPr>
              <w:t>)</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 xml:space="preserve">Facilities: </w:t>
            </w:r>
            <w:r w:rsidRPr="00A51961">
              <w:rPr>
                <w:sz w:val="21"/>
                <w:szCs w:val="21"/>
              </w:rPr>
              <w:t xml:space="preserve">10,000 square foot school located at the Ministry Center, </w:t>
            </w:r>
            <w:r w:rsidR="00F962A3">
              <w:rPr>
                <w:sz w:val="21"/>
                <w:szCs w:val="21"/>
              </w:rPr>
              <w:t xml:space="preserve">766 </w:t>
            </w:r>
            <w:proofErr w:type="spellStart"/>
            <w:r w:rsidR="00F962A3">
              <w:rPr>
                <w:sz w:val="21"/>
                <w:szCs w:val="21"/>
              </w:rPr>
              <w:t>Harkrider</w:t>
            </w:r>
            <w:proofErr w:type="spellEnd"/>
            <w:r w:rsidR="00F962A3">
              <w:rPr>
                <w:sz w:val="21"/>
                <w:szCs w:val="21"/>
              </w:rPr>
              <w:t xml:space="preserve"> St</w:t>
            </w:r>
            <w:r w:rsidRPr="00A51961">
              <w:rPr>
                <w:sz w:val="21"/>
                <w:szCs w:val="21"/>
              </w:rPr>
              <w:t>.</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 xml:space="preserve">Curriculum: </w:t>
            </w:r>
            <w:r w:rsidR="001E5863" w:rsidRPr="001E5863">
              <w:rPr>
                <w:sz w:val="21"/>
                <w:szCs w:val="21"/>
              </w:rPr>
              <w:t>Igniting</w:t>
            </w:r>
            <w:r w:rsidR="001E5863">
              <w:rPr>
                <w:b/>
                <w:sz w:val="21"/>
                <w:szCs w:val="21"/>
              </w:rPr>
              <w:t xml:space="preserve"> </w:t>
            </w:r>
            <w:r w:rsidRPr="00A51961">
              <w:rPr>
                <w:sz w:val="21"/>
                <w:szCs w:val="21"/>
              </w:rPr>
              <w:t>Sparks, Choosing the Best, Homework from public schools</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Supplies:</w:t>
            </w:r>
            <w:r w:rsidRPr="00A51961">
              <w:rPr>
                <w:sz w:val="21"/>
                <w:szCs w:val="21"/>
              </w:rPr>
              <w:t xml:space="preserve"> Computers, school supplies, </w:t>
            </w:r>
            <w:r>
              <w:rPr>
                <w:sz w:val="21"/>
                <w:szCs w:val="21"/>
              </w:rPr>
              <w:t>snacks</w:t>
            </w: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28" type="#_x0000_t13" style="position:absolute;margin-left:-1.65pt;margin-top:52.4pt;width:23.25pt;height:7.15pt;z-index:251654144;mso-position-horizontal-relative:text;mso-position-vertical-relative:text"/>
              </w:pict>
            </w:r>
          </w:p>
        </w:tc>
        <w:tc>
          <w:tcPr>
            <w:tcW w:w="2901" w:type="dxa"/>
            <w:vMerge w:val="restart"/>
          </w:tcPr>
          <w:p w:rsidR="00AA4099" w:rsidRPr="00A51961" w:rsidRDefault="00AA4099" w:rsidP="00812A41">
            <w:pPr>
              <w:rPr>
                <w:sz w:val="21"/>
                <w:szCs w:val="21"/>
              </w:rPr>
            </w:pPr>
            <w:r w:rsidRPr="00A51961">
              <w:rPr>
                <w:b/>
                <w:sz w:val="21"/>
                <w:szCs w:val="21"/>
              </w:rPr>
              <w:t>Transportation:</w:t>
            </w:r>
            <w:r w:rsidRPr="00A51961">
              <w:rPr>
                <w:sz w:val="21"/>
                <w:szCs w:val="21"/>
              </w:rPr>
              <w:t xml:space="preserve"> </w:t>
            </w:r>
            <w:r>
              <w:rPr>
                <w:sz w:val="21"/>
                <w:szCs w:val="21"/>
              </w:rPr>
              <w:t>Contract with transportation company for</w:t>
            </w:r>
            <w:r w:rsidRPr="00A51961">
              <w:rPr>
                <w:sz w:val="21"/>
                <w:szCs w:val="21"/>
              </w:rPr>
              <w:t xml:space="preserve"> drivers to transport students from school to </w:t>
            </w:r>
            <w:r w:rsidR="001E5863">
              <w:rPr>
                <w:sz w:val="21"/>
                <w:szCs w:val="21"/>
              </w:rPr>
              <w:t>campus</w:t>
            </w:r>
            <w:r>
              <w:rPr>
                <w:sz w:val="21"/>
                <w:szCs w:val="21"/>
              </w:rPr>
              <w:t>;</w:t>
            </w:r>
            <w:r w:rsidRPr="00A51961">
              <w:rPr>
                <w:sz w:val="21"/>
                <w:szCs w:val="21"/>
              </w:rPr>
              <w:t xml:space="preserve"> parents transport home.</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Snacks</w:t>
            </w:r>
            <w:r w:rsidRPr="00A51961">
              <w:rPr>
                <w:sz w:val="21"/>
                <w:szCs w:val="21"/>
              </w:rPr>
              <w:t>: Students eat a nutritious snack upon arrival.</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 xml:space="preserve">Recreation: </w:t>
            </w:r>
            <w:r w:rsidRPr="00A51961">
              <w:rPr>
                <w:sz w:val="21"/>
                <w:szCs w:val="21"/>
              </w:rPr>
              <w:t>Students decompress after a full day of school by socializing and playing games.</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 xml:space="preserve">Tutoring: </w:t>
            </w:r>
            <w:r w:rsidR="006A537B">
              <w:rPr>
                <w:sz w:val="21"/>
                <w:szCs w:val="21"/>
              </w:rPr>
              <w:t>Qualified</w:t>
            </w:r>
            <w:r w:rsidRPr="00A51961">
              <w:rPr>
                <w:sz w:val="21"/>
                <w:szCs w:val="21"/>
              </w:rPr>
              <w:t xml:space="preserve"> teachers meet with students to help with homework and time management.</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 xml:space="preserve">Character Development: </w:t>
            </w:r>
            <w:r w:rsidRPr="00A51961">
              <w:rPr>
                <w:sz w:val="21"/>
                <w:szCs w:val="21"/>
              </w:rPr>
              <w:t>Choosing 2 Excel staff engage students through the Choosing the Best curriculum</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 xml:space="preserve">Sparks: </w:t>
            </w:r>
            <w:r w:rsidRPr="00A51961">
              <w:rPr>
                <w:sz w:val="21"/>
                <w:szCs w:val="21"/>
              </w:rPr>
              <w:t>Staff and volunteers interact with students based on their Sparks, expressing interest, confidence, training, and opportunities to express their Spark.</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 xml:space="preserve">Field Trips: </w:t>
            </w:r>
            <w:r w:rsidR="001E5863">
              <w:rPr>
                <w:sz w:val="21"/>
                <w:szCs w:val="21"/>
              </w:rPr>
              <w:t>Staff and volunteers</w:t>
            </w:r>
            <w:r w:rsidRPr="00A51961">
              <w:rPr>
                <w:sz w:val="21"/>
                <w:szCs w:val="21"/>
              </w:rPr>
              <w:t xml:space="preserve"> take students off campus for recreational and educational experiences.</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 xml:space="preserve">Community Dinners: </w:t>
            </w:r>
            <w:r w:rsidRPr="00A51961">
              <w:rPr>
                <w:sz w:val="21"/>
                <w:szCs w:val="21"/>
              </w:rPr>
              <w:t>Parents of students are</w:t>
            </w:r>
            <w:r>
              <w:rPr>
                <w:sz w:val="21"/>
                <w:szCs w:val="21"/>
              </w:rPr>
              <w:t xml:space="preserve"> periodically </w:t>
            </w:r>
            <w:r w:rsidRPr="00A51961">
              <w:rPr>
                <w:sz w:val="21"/>
                <w:szCs w:val="21"/>
              </w:rPr>
              <w:t>invited to stay for dinner and learn more about their child’s interests and progress.</w:t>
            </w: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29" type="#_x0000_t13" style="position:absolute;margin-left:-2.4pt;margin-top:52.4pt;width:23.25pt;height:7.15pt;z-index:251655168;mso-position-horizontal-relative:text;mso-position-vertical-relative:text"/>
              </w:pict>
            </w:r>
          </w:p>
        </w:tc>
        <w:tc>
          <w:tcPr>
            <w:tcW w:w="2828" w:type="dxa"/>
            <w:vMerge w:val="restart"/>
          </w:tcPr>
          <w:p w:rsidR="00AA4099" w:rsidRPr="00A51961" w:rsidRDefault="00AA4099" w:rsidP="00812A41">
            <w:pPr>
              <w:rPr>
                <w:sz w:val="21"/>
                <w:szCs w:val="21"/>
              </w:rPr>
            </w:pPr>
            <w:r w:rsidRPr="00A51961">
              <w:rPr>
                <w:b/>
                <w:sz w:val="21"/>
                <w:szCs w:val="21"/>
              </w:rPr>
              <w:t>Outcome #1:</w:t>
            </w:r>
            <w:r w:rsidRPr="00A51961">
              <w:rPr>
                <w:sz w:val="21"/>
                <w:szCs w:val="21"/>
              </w:rPr>
              <w:t xml:space="preserve"> Reduced at-risk behaviors, including drug, alcohol, and tobacco use, sexual activity, d</w:t>
            </w:r>
            <w:r w:rsidR="00992F95">
              <w:rPr>
                <w:sz w:val="21"/>
                <w:szCs w:val="21"/>
              </w:rPr>
              <w:t>epression, and suicide attempts</w:t>
            </w:r>
          </w:p>
          <w:p w:rsidR="00AA4099" w:rsidRPr="00A51961" w:rsidRDefault="00AA4099" w:rsidP="00812A41">
            <w:pPr>
              <w:rPr>
                <w:sz w:val="21"/>
                <w:szCs w:val="21"/>
              </w:rPr>
            </w:pPr>
            <w:r w:rsidRPr="00A51961">
              <w:rPr>
                <w:b/>
                <w:sz w:val="21"/>
                <w:szCs w:val="21"/>
              </w:rPr>
              <w:t>Indicator:</w:t>
            </w:r>
            <w:r w:rsidRPr="00A51961">
              <w:rPr>
                <w:sz w:val="21"/>
                <w:szCs w:val="21"/>
              </w:rPr>
              <w:t xml:space="preserve"> Pre- and post- results of Deve</w:t>
            </w:r>
            <w:r w:rsidR="00992F95">
              <w:rPr>
                <w:sz w:val="21"/>
                <w:szCs w:val="21"/>
              </w:rPr>
              <w:t>lopmental Asset Profile surveys</w:t>
            </w:r>
          </w:p>
          <w:p w:rsidR="00AA4099" w:rsidRPr="00A51961" w:rsidRDefault="00AA4099" w:rsidP="00812A41">
            <w:pPr>
              <w:rPr>
                <w:sz w:val="21"/>
                <w:szCs w:val="21"/>
              </w:rPr>
            </w:pPr>
            <w:r w:rsidRPr="00A51961">
              <w:rPr>
                <w:b/>
                <w:sz w:val="21"/>
                <w:szCs w:val="21"/>
              </w:rPr>
              <w:t>Results:</w:t>
            </w:r>
            <w:r w:rsidRPr="00A51961">
              <w:rPr>
                <w:sz w:val="21"/>
                <w:szCs w:val="21"/>
              </w:rPr>
              <w:t xml:space="preserve"> Average increase of 3 Assets per student </w:t>
            </w:r>
            <w:r>
              <w:rPr>
                <w:sz w:val="21"/>
                <w:szCs w:val="21"/>
              </w:rPr>
              <w:t>upon completion</w:t>
            </w:r>
            <w:r w:rsidR="00992F95">
              <w:rPr>
                <w:sz w:val="21"/>
                <w:szCs w:val="21"/>
              </w:rPr>
              <w:t xml:space="preserve"> of program</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Outcome #</w:t>
            </w:r>
            <w:r>
              <w:rPr>
                <w:b/>
                <w:sz w:val="21"/>
                <w:szCs w:val="21"/>
              </w:rPr>
              <w:t>2</w:t>
            </w:r>
            <w:r w:rsidRPr="00A51961">
              <w:rPr>
                <w:b/>
                <w:sz w:val="21"/>
                <w:szCs w:val="21"/>
              </w:rPr>
              <w:t>:</w:t>
            </w:r>
            <w:r w:rsidRPr="00A51961">
              <w:rPr>
                <w:sz w:val="21"/>
                <w:szCs w:val="21"/>
              </w:rPr>
              <w:t xml:space="preserve"> Improved academic and behavioral reports at school</w:t>
            </w:r>
          </w:p>
          <w:p w:rsidR="00AA4099" w:rsidRPr="00A51961" w:rsidRDefault="00AA4099" w:rsidP="00812A41">
            <w:pPr>
              <w:rPr>
                <w:sz w:val="21"/>
                <w:szCs w:val="21"/>
              </w:rPr>
            </w:pPr>
            <w:r w:rsidRPr="00A51961">
              <w:rPr>
                <w:b/>
                <w:sz w:val="21"/>
                <w:szCs w:val="21"/>
              </w:rPr>
              <w:t>Indicator:</w:t>
            </w:r>
            <w:r w:rsidRPr="00A51961">
              <w:rPr>
                <w:sz w:val="21"/>
                <w:szCs w:val="21"/>
              </w:rPr>
              <w:t xml:space="preserve"> </w:t>
            </w:r>
            <w:r>
              <w:rPr>
                <w:sz w:val="21"/>
                <w:szCs w:val="21"/>
              </w:rPr>
              <w:t xml:space="preserve">Regular </w:t>
            </w:r>
            <w:r w:rsidRPr="00A51961">
              <w:rPr>
                <w:sz w:val="21"/>
                <w:szCs w:val="21"/>
              </w:rPr>
              <w:t>reports from school counselors</w:t>
            </w:r>
          </w:p>
          <w:p w:rsidR="00AA4099" w:rsidRPr="00A51961" w:rsidRDefault="00AA4099" w:rsidP="00812A41">
            <w:pPr>
              <w:rPr>
                <w:sz w:val="21"/>
                <w:szCs w:val="21"/>
              </w:rPr>
            </w:pPr>
            <w:r w:rsidRPr="00A51961">
              <w:rPr>
                <w:b/>
                <w:sz w:val="21"/>
                <w:szCs w:val="21"/>
              </w:rPr>
              <w:t>Results:</w:t>
            </w:r>
            <w:r w:rsidRPr="00A51961">
              <w:rPr>
                <w:sz w:val="21"/>
                <w:szCs w:val="21"/>
              </w:rPr>
              <w:t xml:space="preserve"> </w:t>
            </w:r>
            <w:r>
              <w:rPr>
                <w:sz w:val="21"/>
                <w:szCs w:val="21"/>
              </w:rPr>
              <w:t>Positive reports from school counselors on 75%</w:t>
            </w:r>
            <w:r w:rsidRPr="00A51961">
              <w:rPr>
                <w:sz w:val="21"/>
                <w:szCs w:val="21"/>
              </w:rPr>
              <w:t xml:space="preserve"> </w:t>
            </w:r>
            <w:r>
              <w:rPr>
                <w:sz w:val="21"/>
                <w:szCs w:val="21"/>
              </w:rPr>
              <w:t>of student who complete the program</w:t>
            </w:r>
            <w:r w:rsidRPr="00A51961">
              <w:rPr>
                <w:sz w:val="21"/>
                <w:szCs w:val="21"/>
              </w:rPr>
              <w:t xml:space="preserve"> </w:t>
            </w:r>
          </w:p>
          <w:p w:rsidR="00AA4099" w:rsidRPr="00A51961" w:rsidRDefault="00AA4099" w:rsidP="00812A41">
            <w:pPr>
              <w:rPr>
                <w:sz w:val="21"/>
                <w:szCs w:val="21"/>
              </w:rPr>
            </w:pPr>
          </w:p>
          <w:p w:rsidR="00AA4099" w:rsidRPr="00A51961" w:rsidRDefault="00AA4099" w:rsidP="00812A41">
            <w:pPr>
              <w:rPr>
                <w:sz w:val="21"/>
                <w:szCs w:val="21"/>
              </w:rPr>
            </w:pPr>
            <w:r w:rsidRPr="00A51961">
              <w:rPr>
                <w:b/>
                <w:sz w:val="21"/>
                <w:szCs w:val="21"/>
              </w:rPr>
              <w:t>Outcome #3:</w:t>
            </w:r>
            <w:r w:rsidRPr="00A51961">
              <w:rPr>
                <w:sz w:val="21"/>
                <w:szCs w:val="21"/>
              </w:rPr>
              <w:t xml:space="preserve"> Increased motivation to persevere and excel in school and other relationships</w:t>
            </w:r>
          </w:p>
          <w:p w:rsidR="00AA4099" w:rsidRPr="00A51961" w:rsidRDefault="00AA4099" w:rsidP="00812A41">
            <w:pPr>
              <w:rPr>
                <w:sz w:val="21"/>
                <w:szCs w:val="21"/>
              </w:rPr>
            </w:pPr>
            <w:r w:rsidRPr="00A51961">
              <w:rPr>
                <w:b/>
                <w:sz w:val="21"/>
                <w:szCs w:val="21"/>
              </w:rPr>
              <w:t>Indicator:</w:t>
            </w:r>
            <w:r w:rsidRPr="00A51961">
              <w:rPr>
                <w:sz w:val="21"/>
                <w:szCs w:val="21"/>
              </w:rPr>
              <w:t xml:space="preserve"> Pre- and post- Thriving and Sparks surveys</w:t>
            </w:r>
          </w:p>
          <w:p w:rsidR="00AA4099" w:rsidRPr="00A51961" w:rsidRDefault="00AA4099" w:rsidP="00812A41">
            <w:pPr>
              <w:rPr>
                <w:sz w:val="21"/>
                <w:szCs w:val="21"/>
              </w:rPr>
            </w:pPr>
            <w:r w:rsidRPr="00A51961">
              <w:rPr>
                <w:b/>
                <w:sz w:val="21"/>
                <w:szCs w:val="21"/>
              </w:rPr>
              <w:t>Results:</w:t>
            </w:r>
            <w:r w:rsidRPr="00A51961">
              <w:rPr>
                <w:sz w:val="21"/>
                <w:szCs w:val="21"/>
              </w:rPr>
              <w:t xml:space="preserve"> 90% of students who complete program can identify their Spark, name </w:t>
            </w:r>
            <w:r w:rsidR="001E5863">
              <w:rPr>
                <w:sz w:val="21"/>
                <w:szCs w:val="21"/>
              </w:rPr>
              <w:t>three</w:t>
            </w:r>
            <w:r w:rsidRPr="00A51961">
              <w:rPr>
                <w:sz w:val="21"/>
                <w:szCs w:val="21"/>
              </w:rPr>
              <w:t xml:space="preserve"> </w:t>
            </w:r>
            <w:r>
              <w:rPr>
                <w:sz w:val="21"/>
                <w:szCs w:val="21"/>
              </w:rPr>
              <w:t xml:space="preserve">personal </w:t>
            </w:r>
            <w:r w:rsidRPr="00A51961">
              <w:rPr>
                <w:sz w:val="21"/>
                <w:szCs w:val="21"/>
              </w:rPr>
              <w:t>Spark Champions, and identify oppor</w:t>
            </w:r>
            <w:r w:rsidR="00992F95">
              <w:rPr>
                <w:sz w:val="21"/>
                <w:szCs w:val="21"/>
              </w:rPr>
              <w:t>tunities to express their Spark</w:t>
            </w:r>
          </w:p>
          <w:p w:rsidR="00AA4099" w:rsidRPr="00A51961" w:rsidRDefault="00AA4099" w:rsidP="00812A41">
            <w:pPr>
              <w:rPr>
                <w:sz w:val="21"/>
                <w:szCs w:val="21"/>
              </w:rPr>
            </w:pPr>
          </w:p>
          <w:p w:rsidR="00AA4099" w:rsidRPr="00A51961" w:rsidRDefault="00AA4099" w:rsidP="00812A41">
            <w:pPr>
              <w:rPr>
                <w:sz w:val="21"/>
                <w:szCs w:val="21"/>
              </w:rPr>
            </w:pPr>
          </w:p>
        </w:tc>
      </w:tr>
      <w:tr w:rsidR="00AA4099" w:rsidTr="00CD73F1">
        <w:trPr>
          <w:trHeight w:val="2279"/>
        </w:trPr>
        <w:tc>
          <w:tcPr>
            <w:tcW w:w="2828" w:type="dxa"/>
            <w:vMerge/>
          </w:tcPr>
          <w:p w:rsidR="00AA4099" w:rsidRPr="00A51961" w:rsidRDefault="00AA4099" w:rsidP="00812A41">
            <w:pPr>
              <w:rPr>
                <w:b/>
                <w:sz w:val="21"/>
                <w:szCs w:val="21"/>
              </w:rPr>
            </w:pP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30" type="#_x0000_t13" style="position:absolute;margin-left:-1.65pt;margin-top:54.05pt;width:23.25pt;height:7.15pt;z-index:251656192;mso-position-horizontal-relative:text;mso-position-vertical-relative:text"/>
              </w:pict>
            </w:r>
          </w:p>
        </w:tc>
        <w:tc>
          <w:tcPr>
            <w:tcW w:w="2901" w:type="dxa"/>
            <w:vMerge/>
          </w:tcPr>
          <w:p w:rsidR="00AA4099" w:rsidRPr="00A51961" w:rsidRDefault="00AA4099" w:rsidP="00812A41">
            <w:pPr>
              <w:rPr>
                <w:b/>
                <w:sz w:val="21"/>
                <w:szCs w:val="21"/>
              </w:rPr>
            </w:pP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31" type="#_x0000_t13" style="position:absolute;margin-left:-2.4pt;margin-top:54.05pt;width:23.25pt;height:7.15pt;z-index:251657216;mso-position-horizontal-relative:text;mso-position-vertical-relative:text"/>
              </w:pict>
            </w:r>
          </w:p>
        </w:tc>
        <w:tc>
          <w:tcPr>
            <w:tcW w:w="2828" w:type="dxa"/>
            <w:vMerge/>
          </w:tcPr>
          <w:p w:rsidR="00AA4099" w:rsidRPr="00A51961" w:rsidRDefault="00AA4099" w:rsidP="00812A41">
            <w:pPr>
              <w:rPr>
                <w:b/>
                <w:sz w:val="21"/>
                <w:szCs w:val="21"/>
              </w:rPr>
            </w:pPr>
          </w:p>
        </w:tc>
      </w:tr>
      <w:tr w:rsidR="00AA4099" w:rsidTr="00CD73F1">
        <w:trPr>
          <w:trHeight w:val="2279"/>
        </w:trPr>
        <w:tc>
          <w:tcPr>
            <w:tcW w:w="2828" w:type="dxa"/>
            <w:vMerge/>
          </w:tcPr>
          <w:p w:rsidR="00AA4099" w:rsidRPr="00A51961" w:rsidRDefault="00AA4099" w:rsidP="00812A41">
            <w:pPr>
              <w:rPr>
                <w:b/>
                <w:sz w:val="21"/>
                <w:szCs w:val="21"/>
              </w:rPr>
            </w:pP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32" type="#_x0000_t13" style="position:absolute;margin-left:-1.65pt;margin-top:56.1pt;width:23.25pt;height:7.15pt;z-index:251658240;mso-position-horizontal-relative:text;mso-position-vertical-relative:text"/>
              </w:pict>
            </w:r>
          </w:p>
        </w:tc>
        <w:tc>
          <w:tcPr>
            <w:tcW w:w="2901" w:type="dxa"/>
            <w:vMerge/>
          </w:tcPr>
          <w:p w:rsidR="00AA4099" w:rsidRPr="00A51961" w:rsidRDefault="00AA4099" w:rsidP="00812A41">
            <w:pPr>
              <w:rPr>
                <w:b/>
                <w:sz w:val="21"/>
                <w:szCs w:val="21"/>
              </w:rPr>
            </w:pP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33" type="#_x0000_t13" style="position:absolute;margin-left:-2.4pt;margin-top:56.1pt;width:23.25pt;height:7.15pt;z-index:251659264;mso-position-horizontal-relative:text;mso-position-vertical-relative:text"/>
              </w:pict>
            </w:r>
          </w:p>
        </w:tc>
        <w:tc>
          <w:tcPr>
            <w:tcW w:w="2828" w:type="dxa"/>
            <w:vMerge/>
          </w:tcPr>
          <w:p w:rsidR="00AA4099" w:rsidRPr="00A51961" w:rsidRDefault="00AA4099" w:rsidP="00812A41">
            <w:pPr>
              <w:rPr>
                <w:b/>
                <w:sz w:val="21"/>
                <w:szCs w:val="21"/>
              </w:rPr>
            </w:pPr>
          </w:p>
        </w:tc>
      </w:tr>
      <w:tr w:rsidR="00AA4099" w:rsidTr="00CD73F1">
        <w:trPr>
          <w:trHeight w:val="2279"/>
        </w:trPr>
        <w:tc>
          <w:tcPr>
            <w:tcW w:w="2828" w:type="dxa"/>
            <w:vMerge/>
          </w:tcPr>
          <w:p w:rsidR="00AA4099" w:rsidRPr="00A51961" w:rsidRDefault="00AA4099" w:rsidP="00812A41">
            <w:pPr>
              <w:rPr>
                <w:b/>
                <w:sz w:val="21"/>
                <w:szCs w:val="21"/>
              </w:rPr>
            </w:pP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34" type="#_x0000_t13" style="position:absolute;margin-left:-1.65pt;margin-top:53.65pt;width:23.25pt;height:7.15pt;z-index:251660288;mso-position-horizontal-relative:text;mso-position-vertical-relative:text"/>
              </w:pict>
            </w:r>
          </w:p>
        </w:tc>
        <w:tc>
          <w:tcPr>
            <w:tcW w:w="2901" w:type="dxa"/>
            <w:vMerge/>
          </w:tcPr>
          <w:p w:rsidR="00AA4099" w:rsidRPr="00A51961" w:rsidRDefault="00AA4099" w:rsidP="00812A41">
            <w:pPr>
              <w:rPr>
                <w:b/>
                <w:sz w:val="21"/>
                <w:szCs w:val="21"/>
              </w:rPr>
            </w:pP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35" type="#_x0000_t13" style="position:absolute;margin-left:-2.4pt;margin-top:60.8pt;width:23.25pt;height:7.15pt;z-index:251661312;mso-position-horizontal-relative:text;mso-position-vertical-relative:text"/>
              </w:pict>
            </w:r>
          </w:p>
        </w:tc>
        <w:tc>
          <w:tcPr>
            <w:tcW w:w="2828" w:type="dxa"/>
            <w:vMerge/>
          </w:tcPr>
          <w:p w:rsidR="00AA4099" w:rsidRPr="00A51961" w:rsidRDefault="00AA4099" w:rsidP="00812A41">
            <w:pPr>
              <w:rPr>
                <w:b/>
                <w:sz w:val="21"/>
                <w:szCs w:val="21"/>
              </w:rPr>
            </w:pPr>
          </w:p>
        </w:tc>
      </w:tr>
      <w:tr w:rsidR="00AA4099" w:rsidTr="00CD73F1">
        <w:trPr>
          <w:trHeight w:val="2279"/>
        </w:trPr>
        <w:tc>
          <w:tcPr>
            <w:tcW w:w="2828" w:type="dxa"/>
            <w:vMerge/>
          </w:tcPr>
          <w:p w:rsidR="00AA4099" w:rsidRPr="00A51961" w:rsidRDefault="00AA4099" w:rsidP="00812A41">
            <w:pPr>
              <w:rPr>
                <w:b/>
                <w:sz w:val="21"/>
                <w:szCs w:val="21"/>
              </w:rPr>
            </w:pP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36" type="#_x0000_t13" style="position:absolute;margin-left:-1.65pt;margin-top:58.35pt;width:23.25pt;height:7.15pt;z-index:251662336;mso-position-horizontal-relative:text;mso-position-vertical-relative:text"/>
              </w:pict>
            </w:r>
          </w:p>
        </w:tc>
        <w:tc>
          <w:tcPr>
            <w:tcW w:w="2901" w:type="dxa"/>
            <w:vMerge/>
          </w:tcPr>
          <w:p w:rsidR="00AA4099" w:rsidRPr="00A51961" w:rsidRDefault="00AA4099" w:rsidP="00812A41">
            <w:pPr>
              <w:rPr>
                <w:b/>
                <w:sz w:val="21"/>
                <w:szCs w:val="21"/>
              </w:rPr>
            </w:pPr>
          </w:p>
        </w:tc>
        <w:tc>
          <w:tcPr>
            <w:tcW w:w="544" w:type="dxa"/>
            <w:shd w:val="clear" w:color="auto" w:fill="F2F2F2" w:themeFill="background1" w:themeFillShade="F2"/>
          </w:tcPr>
          <w:p w:rsidR="00AA4099" w:rsidRPr="00A51961" w:rsidRDefault="00B64834" w:rsidP="00812A41">
            <w:pPr>
              <w:rPr>
                <w:noProof/>
                <w:sz w:val="21"/>
                <w:szCs w:val="21"/>
              </w:rPr>
            </w:pPr>
            <w:r w:rsidRPr="00B64834">
              <w:rPr>
                <w:b/>
                <w:noProof/>
                <w:sz w:val="28"/>
                <w:szCs w:val="28"/>
              </w:rPr>
              <w:pict>
                <v:shape id="_x0000_s1037" type="#_x0000_t13" style="position:absolute;margin-left:-2.4pt;margin-top:58.35pt;width:23.25pt;height:7.15pt;z-index:251663360;mso-position-horizontal-relative:text;mso-position-vertical-relative:text"/>
              </w:pict>
            </w:r>
          </w:p>
        </w:tc>
        <w:tc>
          <w:tcPr>
            <w:tcW w:w="2828" w:type="dxa"/>
            <w:vMerge/>
          </w:tcPr>
          <w:p w:rsidR="00AA4099" w:rsidRPr="00A51961" w:rsidRDefault="00AA4099" w:rsidP="00812A41">
            <w:pPr>
              <w:rPr>
                <w:b/>
                <w:sz w:val="21"/>
                <w:szCs w:val="21"/>
              </w:rPr>
            </w:pPr>
          </w:p>
        </w:tc>
      </w:tr>
    </w:tbl>
    <w:p w:rsidR="00AA4099" w:rsidRDefault="00AA4099" w:rsidP="00CD73F1"/>
    <w:sectPr w:rsidR="00AA4099" w:rsidSect="00DC6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425D"/>
    <w:multiLevelType w:val="hybridMultilevel"/>
    <w:tmpl w:val="AC2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53B7C"/>
    <w:multiLevelType w:val="hybridMultilevel"/>
    <w:tmpl w:val="9F7859EC"/>
    <w:lvl w:ilvl="0" w:tplc="B206406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1F06"/>
    <w:rsid w:val="001326C3"/>
    <w:rsid w:val="00181315"/>
    <w:rsid w:val="001A2DFD"/>
    <w:rsid w:val="001E5863"/>
    <w:rsid w:val="002777B5"/>
    <w:rsid w:val="002872F5"/>
    <w:rsid w:val="004C5124"/>
    <w:rsid w:val="00502620"/>
    <w:rsid w:val="0054610F"/>
    <w:rsid w:val="00583355"/>
    <w:rsid w:val="00590B2B"/>
    <w:rsid w:val="005A7CC2"/>
    <w:rsid w:val="005B5BAA"/>
    <w:rsid w:val="006510A2"/>
    <w:rsid w:val="0068077D"/>
    <w:rsid w:val="006A537B"/>
    <w:rsid w:val="00750267"/>
    <w:rsid w:val="00773E09"/>
    <w:rsid w:val="00814671"/>
    <w:rsid w:val="008A073C"/>
    <w:rsid w:val="00992F95"/>
    <w:rsid w:val="00A160DC"/>
    <w:rsid w:val="00A24AEC"/>
    <w:rsid w:val="00A72E20"/>
    <w:rsid w:val="00AA4099"/>
    <w:rsid w:val="00AC1BB7"/>
    <w:rsid w:val="00AF437B"/>
    <w:rsid w:val="00B25A33"/>
    <w:rsid w:val="00B61B4D"/>
    <w:rsid w:val="00B64834"/>
    <w:rsid w:val="00CD73F1"/>
    <w:rsid w:val="00D21766"/>
    <w:rsid w:val="00D311F9"/>
    <w:rsid w:val="00D32DAF"/>
    <w:rsid w:val="00DC6B8A"/>
    <w:rsid w:val="00E47BF7"/>
    <w:rsid w:val="00E606E4"/>
    <w:rsid w:val="00F31F06"/>
    <w:rsid w:val="00F4257A"/>
    <w:rsid w:val="00F96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8A"/>
  </w:style>
  <w:style w:type="paragraph" w:styleId="Heading1">
    <w:name w:val="heading 1"/>
    <w:basedOn w:val="Normal"/>
    <w:next w:val="Normal"/>
    <w:link w:val="Heading1Char"/>
    <w:uiPriority w:val="9"/>
    <w:qFormat/>
    <w:rsid w:val="001E5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5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F9"/>
    <w:pPr>
      <w:ind w:left="720"/>
      <w:contextualSpacing/>
    </w:pPr>
  </w:style>
  <w:style w:type="paragraph" w:styleId="BalloonText">
    <w:name w:val="Balloon Text"/>
    <w:basedOn w:val="Normal"/>
    <w:link w:val="BalloonTextChar"/>
    <w:uiPriority w:val="99"/>
    <w:semiHidden/>
    <w:unhideWhenUsed/>
    <w:rsid w:val="00AA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99"/>
    <w:rPr>
      <w:rFonts w:ascii="Tahoma" w:hAnsi="Tahoma" w:cs="Tahoma"/>
      <w:sz w:val="16"/>
      <w:szCs w:val="16"/>
    </w:rPr>
  </w:style>
  <w:style w:type="table" w:styleId="TableGrid">
    <w:name w:val="Table Grid"/>
    <w:basedOn w:val="TableNormal"/>
    <w:uiPriority w:val="59"/>
    <w:rsid w:val="00AA4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58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586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dc:creator>
  <cp:lastModifiedBy>Monte</cp:lastModifiedBy>
  <cp:revision>2</cp:revision>
  <cp:lastPrinted>2015-04-17T18:05:00Z</cp:lastPrinted>
  <dcterms:created xsi:type="dcterms:W3CDTF">2015-07-31T16:01:00Z</dcterms:created>
  <dcterms:modified xsi:type="dcterms:W3CDTF">2015-07-31T16:01:00Z</dcterms:modified>
</cp:coreProperties>
</file>