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53" w:rsidRPr="00ED382D" w:rsidRDefault="00127D53">
      <w:pPr>
        <w:rPr>
          <w:rFonts w:cs="Times New Roman"/>
          <w:b/>
          <w:szCs w:val="24"/>
        </w:rPr>
      </w:pPr>
      <w:r w:rsidRPr="00ED382D">
        <w:rPr>
          <w:rFonts w:cs="Times New Roman"/>
          <w:b/>
          <w:szCs w:val="24"/>
        </w:rPr>
        <w:t>II General Policies</w:t>
      </w:r>
    </w:p>
    <w:p w:rsidR="00127D53" w:rsidRPr="00ED382D" w:rsidRDefault="00127D53">
      <w:pPr>
        <w:rPr>
          <w:rFonts w:cs="Times New Roman"/>
          <w:b/>
          <w:szCs w:val="24"/>
        </w:rPr>
      </w:pPr>
      <w:r w:rsidRPr="00ED382D">
        <w:rPr>
          <w:rFonts w:cs="Times New Roman"/>
          <w:b/>
          <w:szCs w:val="24"/>
        </w:rPr>
        <w:t>A. Recruiting Policies.</w:t>
      </w:r>
    </w:p>
    <w:p w:rsidR="00127D53" w:rsidRPr="00ED382D" w:rsidRDefault="00127D53" w:rsidP="00ED382D">
      <w:pPr>
        <w:pStyle w:val="fhbbody2"/>
        <w:tabs>
          <w:tab w:val="clear" w:pos="1440"/>
        </w:tabs>
        <w:ind w:left="0"/>
        <w:rPr>
          <w:rFonts w:ascii="Times New Roman" w:hAnsi="Times New Roman"/>
          <w:sz w:val="24"/>
          <w:szCs w:val="24"/>
        </w:rPr>
      </w:pPr>
      <w:r w:rsidRPr="00ED382D">
        <w:rPr>
          <w:rFonts w:ascii="Times New Roman" w:hAnsi="Times New Roman"/>
          <w:sz w:val="24"/>
          <w:szCs w:val="24"/>
        </w:rPr>
        <w:t xml:space="preserve">Hiring for Honors College faculty positions will be undertaken </w:t>
      </w:r>
      <w:r w:rsidRPr="00ED382D">
        <w:rPr>
          <w:rFonts w:ascii="Times New Roman" w:hAnsi="Times New Roman"/>
          <w:b/>
          <w:sz w:val="24"/>
          <w:szCs w:val="24"/>
        </w:rPr>
        <w:t>jointly</w:t>
      </w:r>
      <w:r w:rsidRPr="00ED382D">
        <w:rPr>
          <w:rFonts w:ascii="Times New Roman" w:hAnsi="Times New Roman"/>
          <w:sz w:val="24"/>
          <w:szCs w:val="24"/>
        </w:rPr>
        <w:t xml:space="preserve"> by the discipline-appropriate departments and the Honors College. The Honors College will define the special areas of training, competence, expertise and knowledge needed in the hiring of a potential faculty member. The discipline-appropriate departments will participate throughout the hiring process to ensure that potential faculty members have sufficient breadth and depth in background and training to teach that department’s general courses for general education and majors/minors.</w:t>
      </w:r>
    </w:p>
    <w:p w:rsidR="00127D53" w:rsidRPr="00ED382D" w:rsidRDefault="00127D53">
      <w:pPr>
        <w:rPr>
          <w:rFonts w:cs="Times New Roman"/>
          <w:b/>
          <w:szCs w:val="24"/>
        </w:rPr>
      </w:pPr>
      <w:r w:rsidRPr="00ED382D">
        <w:rPr>
          <w:rFonts w:cs="Times New Roman"/>
          <w:b/>
          <w:szCs w:val="24"/>
        </w:rPr>
        <w:t>III. Faculty Appointment</w:t>
      </w:r>
    </w:p>
    <w:p w:rsidR="00127D53" w:rsidRPr="00ED382D" w:rsidRDefault="00127D53">
      <w:pPr>
        <w:rPr>
          <w:rFonts w:cs="Times New Roman"/>
          <w:b/>
          <w:szCs w:val="24"/>
        </w:rPr>
      </w:pPr>
      <w:r w:rsidRPr="00ED382D">
        <w:rPr>
          <w:rFonts w:cs="Times New Roman"/>
          <w:b/>
          <w:szCs w:val="24"/>
        </w:rPr>
        <w:t>C. Special Faculty Appointments.</w:t>
      </w:r>
    </w:p>
    <w:p w:rsidR="00127D53" w:rsidRPr="00ED382D" w:rsidRDefault="00127D53">
      <w:pPr>
        <w:rPr>
          <w:rFonts w:cs="Times New Roman"/>
          <w:szCs w:val="24"/>
        </w:rPr>
      </w:pPr>
      <w:r w:rsidRPr="00ED382D">
        <w:rPr>
          <w:rFonts w:cs="Times New Roman"/>
          <w:b/>
          <w:szCs w:val="24"/>
        </w:rPr>
        <w:t xml:space="preserve">2. </w:t>
      </w:r>
      <w:r w:rsidRPr="00ED382D">
        <w:rPr>
          <w:rFonts w:cs="Times New Roman"/>
          <w:b/>
          <w:szCs w:val="24"/>
        </w:rPr>
        <w:t>Honors College Faculty</w:t>
      </w:r>
      <w:r w:rsidRPr="00ED382D">
        <w:rPr>
          <w:rFonts w:cs="Times New Roman"/>
          <w:szCs w:val="24"/>
        </w:rPr>
        <w:t xml:space="preserve"> </w:t>
      </w:r>
    </w:p>
    <w:p w:rsidR="00697FFD" w:rsidRPr="00ED382D" w:rsidRDefault="00127D53">
      <w:pPr>
        <w:rPr>
          <w:rFonts w:cs="Times New Roman"/>
          <w:szCs w:val="24"/>
        </w:rPr>
      </w:pPr>
      <w:r w:rsidRPr="00ED382D">
        <w:rPr>
          <w:rFonts w:cs="Times New Roman"/>
          <w:szCs w:val="24"/>
        </w:rPr>
        <w:t xml:space="preserve">Honors College faculty may hold the </w:t>
      </w:r>
      <w:proofErr w:type="spellStart"/>
      <w:r w:rsidRPr="00ED382D">
        <w:rPr>
          <w:rFonts w:cs="Times New Roman"/>
          <w:szCs w:val="24"/>
        </w:rPr>
        <w:t>tenurable</w:t>
      </w:r>
      <w:proofErr w:type="spellEnd"/>
      <w:r w:rsidRPr="00ED382D">
        <w:rPr>
          <w:rFonts w:cs="Times New Roman"/>
          <w:szCs w:val="24"/>
        </w:rPr>
        <w:t xml:space="preserve"> academic rank of assistant professor, associate professor, or professor. Tenure-track faculty positions in the Honors College are initially </w:t>
      </w:r>
      <w:r w:rsidRPr="00ED382D">
        <w:rPr>
          <w:rFonts w:cs="Times New Roman"/>
          <w:b/>
          <w:szCs w:val="24"/>
        </w:rPr>
        <w:t xml:space="preserve">dual </w:t>
      </w:r>
      <w:r w:rsidRPr="00ED382D">
        <w:rPr>
          <w:rFonts w:cs="Times New Roman"/>
          <w:szCs w:val="24"/>
        </w:rPr>
        <w:t>appointments in the Honors College and a discipline-appropriate department. Thus, during the probationary period, any procedure that applies to Honors College faculty that mentions the “department chair” will be read to mean both the dean of the Honors College and the chair of the discipline-appropriate department. After the faculty member earns tenure, the position becomes a single appointment in the Honors College. Tenured faculty members in the Honors College are expected to maintain their involvement in the discipline-appropriate departmen</w:t>
      </w:r>
      <w:bookmarkStart w:id="0" w:name="_GoBack"/>
      <w:bookmarkEnd w:id="0"/>
      <w:r w:rsidRPr="00ED382D">
        <w:rPr>
          <w:rFonts w:cs="Times New Roman"/>
          <w:szCs w:val="24"/>
        </w:rPr>
        <w:t>t through their teaching, scholarship, and/or service. Hiring policy for Honors College Faculty is set forth in Chapter 3, Section II, A of this Faculty Handbook. The tenure and promotion of Honors College Faculty hired before September 1, 2005, will follow the procedures in Board policy No. 303. For Honors College faculty members hired after September 1, 2005, the procedures specific to the Honors College faculty set forth in 3.VI.G of this Faculty Handbook shall apply</w:t>
      </w:r>
    </w:p>
    <w:p w:rsidR="00127D53" w:rsidRPr="00ED382D" w:rsidRDefault="00127D53" w:rsidP="00127D53">
      <w:pPr>
        <w:pStyle w:val="fhbh2"/>
        <w:ind w:hanging="1440"/>
        <w:rPr>
          <w:rFonts w:ascii="Times New Roman" w:hAnsi="Times New Roman"/>
          <w:sz w:val="24"/>
          <w:szCs w:val="24"/>
        </w:rPr>
      </w:pPr>
      <w:r w:rsidRPr="00ED382D">
        <w:rPr>
          <w:rFonts w:ascii="Times New Roman" w:hAnsi="Times New Roman"/>
          <w:sz w:val="24"/>
          <w:szCs w:val="24"/>
        </w:rPr>
        <w:t>Chapter 3 VI.F. Special Provision for Honors College Faculty</w:t>
      </w:r>
    </w:p>
    <w:p w:rsidR="00127D53" w:rsidRPr="00ED382D" w:rsidRDefault="00127D53" w:rsidP="00127D53">
      <w:pPr>
        <w:pStyle w:val="fhbbody2hanging"/>
        <w:spacing w:after="120" w:line="240" w:lineRule="auto"/>
        <w:ind w:left="0" w:firstLine="0"/>
        <w:rPr>
          <w:rFonts w:ascii="Times New Roman" w:hAnsi="Times New Roman"/>
          <w:sz w:val="24"/>
          <w:szCs w:val="24"/>
        </w:rPr>
      </w:pPr>
      <w:r w:rsidRPr="00ED382D">
        <w:rPr>
          <w:rFonts w:ascii="Times New Roman" w:hAnsi="Times New Roman"/>
          <w:sz w:val="24"/>
          <w:szCs w:val="24"/>
        </w:rPr>
        <w:t>1.</w:t>
      </w:r>
      <w:r w:rsidRPr="00ED382D">
        <w:rPr>
          <w:rFonts w:ascii="Times New Roman" w:hAnsi="Times New Roman"/>
          <w:sz w:val="24"/>
          <w:szCs w:val="24"/>
        </w:rPr>
        <w:tab/>
        <w:t>Probationary Period</w:t>
      </w:r>
    </w:p>
    <w:p w:rsidR="00127D53" w:rsidRPr="00ED382D" w:rsidRDefault="00127D53" w:rsidP="00127D53">
      <w:pPr>
        <w:pStyle w:val="fhbbody3"/>
        <w:spacing w:after="120" w:line="240" w:lineRule="auto"/>
        <w:ind w:left="0"/>
        <w:rPr>
          <w:rFonts w:ascii="Times New Roman" w:hAnsi="Times New Roman"/>
          <w:sz w:val="24"/>
          <w:szCs w:val="24"/>
        </w:rPr>
      </w:pPr>
      <w:r w:rsidRPr="00ED382D">
        <w:rPr>
          <w:rFonts w:ascii="Times New Roman" w:hAnsi="Times New Roman"/>
          <w:sz w:val="24"/>
          <w:szCs w:val="24"/>
        </w:rPr>
        <w:t xml:space="preserve">A faculty member will spend the probationary period for tenure working in both a discipline-appropriate department and the Honors College, with the position funded by the Honors College and by the university with the intention that after the probationary period and a successful tenure decision, he or she will move from a </w:t>
      </w:r>
      <w:r w:rsidRPr="00ED382D">
        <w:rPr>
          <w:rFonts w:ascii="Times New Roman" w:hAnsi="Times New Roman"/>
          <w:b/>
          <w:sz w:val="24"/>
          <w:szCs w:val="24"/>
        </w:rPr>
        <w:t>dual</w:t>
      </w:r>
      <w:r w:rsidRPr="00ED382D">
        <w:rPr>
          <w:rFonts w:ascii="Times New Roman" w:hAnsi="Times New Roman"/>
          <w:sz w:val="24"/>
          <w:szCs w:val="24"/>
        </w:rPr>
        <w:t xml:space="preserve"> appointment to a permanent single appointment in the Honors College. Such faculty will not occupy permanent lines in the department but will occupy positions otherwise filled by other types of temporary faculty. During the probationary period, the faculty member will build a body of teaching, scholarship and service that will become the basis of future evaluation and review by both the Honors College and the discipline-appropriate department. Annual review of faculty will be conducted</w:t>
      </w:r>
      <w:r w:rsidRPr="00ED382D">
        <w:rPr>
          <w:rFonts w:ascii="Times New Roman" w:hAnsi="Times New Roman"/>
          <w:b/>
          <w:sz w:val="24"/>
          <w:szCs w:val="24"/>
        </w:rPr>
        <w:t xml:space="preserve"> jointly</w:t>
      </w:r>
      <w:r w:rsidRPr="00ED382D">
        <w:rPr>
          <w:rFonts w:ascii="Times New Roman" w:hAnsi="Times New Roman"/>
          <w:sz w:val="24"/>
          <w:szCs w:val="24"/>
        </w:rPr>
        <w:t xml:space="preserve"> by the chair of the discipline-appropriate department and the dean of the Honors College. Mid-tenure review will be conducted by the tenure committee as described below, the department chair, the dean of the Honors College, and the college dean following the procedures in Chapter 3, Section VI, Part </w:t>
      </w:r>
      <w:proofErr w:type="gramStart"/>
      <w:r w:rsidRPr="00ED382D">
        <w:rPr>
          <w:rFonts w:ascii="Times New Roman" w:hAnsi="Times New Roman"/>
          <w:sz w:val="24"/>
          <w:szCs w:val="24"/>
        </w:rPr>
        <w:t>A</w:t>
      </w:r>
      <w:proofErr w:type="gramEnd"/>
      <w:r w:rsidRPr="00ED382D">
        <w:rPr>
          <w:rFonts w:ascii="Times New Roman" w:hAnsi="Times New Roman"/>
          <w:sz w:val="24"/>
          <w:szCs w:val="24"/>
        </w:rPr>
        <w:t xml:space="preserve"> 2 of the </w:t>
      </w:r>
      <w:r w:rsidRPr="00ED382D">
        <w:rPr>
          <w:rFonts w:ascii="Times New Roman" w:hAnsi="Times New Roman"/>
          <w:i/>
          <w:sz w:val="24"/>
          <w:szCs w:val="24"/>
        </w:rPr>
        <w:t>Faculty Handbook</w:t>
      </w:r>
      <w:r w:rsidRPr="00ED382D">
        <w:rPr>
          <w:rFonts w:ascii="Times New Roman" w:hAnsi="Times New Roman"/>
          <w:sz w:val="24"/>
          <w:szCs w:val="24"/>
        </w:rPr>
        <w:t>.</w:t>
      </w:r>
    </w:p>
    <w:p w:rsidR="00127D53" w:rsidRPr="00ED382D" w:rsidRDefault="00127D53" w:rsidP="00127D53">
      <w:pPr>
        <w:pStyle w:val="fhbbody2hanging"/>
        <w:spacing w:after="120" w:line="240" w:lineRule="auto"/>
        <w:ind w:left="0" w:firstLine="0"/>
        <w:rPr>
          <w:rFonts w:ascii="Times New Roman" w:hAnsi="Times New Roman"/>
          <w:b/>
          <w:sz w:val="24"/>
          <w:szCs w:val="24"/>
        </w:rPr>
      </w:pPr>
      <w:r w:rsidRPr="00ED382D">
        <w:rPr>
          <w:rFonts w:ascii="Times New Roman" w:hAnsi="Times New Roman"/>
          <w:sz w:val="24"/>
          <w:szCs w:val="24"/>
        </w:rPr>
        <w:lastRenderedPageBreak/>
        <w:t>2.</w:t>
      </w:r>
      <w:r w:rsidRPr="00ED382D">
        <w:rPr>
          <w:rFonts w:ascii="Times New Roman" w:hAnsi="Times New Roman"/>
          <w:sz w:val="24"/>
          <w:szCs w:val="24"/>
        </w:rPr>
        <w:tab/>
        <w:t>Tenure Review</w:t>
      </w:r>
    </w:p>
    <w:p w:rsidR="00127D53" w:rsidRPr="00ED382D" w:rsidRDefault="00127D53" w:rsidP="00127D53">
      <w:pPr>
        <w:pStyle w:val="fhbbody3"/>
        <w:spacing w:after="120" w:line="240" w:lineRule="auto"/>
        <w:ind w:left="0"/>
        <w:rPr>
          <w:rFonts w:ascii="Times New Roman" w:hAnsi="Times New Roman"/>
          <w:sz w:val="24"/>
          <w:szCs w:val="24"/>
        </w:rPr>
      </w:pPr>
      <w:r w:rsidRPr="00ED382D">
        <w:rPr>
          <w:rFonts w:ascii="Times New Roman" w:hAnsi="Times New Roman"/>
          <w:sz w:val="24"/>
          <w:szCs w:val="24"/>
        </w:rPr>
        <w:t>The department-level decision regarding tenure will be undertaken by a tenure committee consisting of the discipline-appropriate department’s tenure and promotion committee and tenured Honors College faculty. The number of tenured Honors College faculty members on the tenure committee shall not exceed the number of faculty on the discipline-appropriate department’s tenure committee. The tenured Honors College faculty will select which members of their tenured faculty will serve on the tenure committee.</w:t>
      </w:r>
    </w:p>
    <w:p w:rsidR="00127D53" w:rsidRPr="00ED382D" w:rsidRDefault="00127D53" w:rsidP="00127D53">
      <w:pPr>
        <w:pStyle w:val="fhbbody3"/>
        <w:spacing w:after="120" w:line="240" w:lineRule="auto"/>
        <w:ind w:left="0"/>
        <w:rPr>
          <w:rFonts w:ascii="Times New Roman" w:hAnsi="Times New Roman"/>
          <w:sz w:val="24"/>
          <w:szCs w:val="24"/>
        </w:rPr>
      </w:pPr>
      <w:r w:rsidRPr="00ED382D">
        <w:rPr>
          <w:rFonts w:ascii="Times New Roman" w:hAnsi="Times New Roman"/>
          <w:sz w:val="24"/>
          <w:szCs w:val="24"/>
        </w:rPr>
        <w:t>The tenure committee shall make a recommendation for tenure based on all relevant criteria and explain the rationale for their recommendation in a letter to both the chair of the discipline-appropriate department and the dean of the Honors College. The chair of the department and the dean of the Honors College shall</w:t>
      </w:r>
      <w:r w:rsidRPr="00ED382D">
        <w:rPr>
          <w:rFonts w:ascii="Times New Roman" w:hAnsi="Times New Roman"/>
          <w:b/>
          <w:sz w:val="24"/>
          <w:szCs w:val="24"/>
        </w:rPr>
        <w:t xml:space="preserve"> jointly</w:t>
      </w:r>
      <w:r w:rsidRPr="00ED382D">
        <w:rPr>
          <w:rFonts w:ascii="Times New Roman" w:hAnsi="Times New Roman"/>
          <w:sz w:val="24"/>
          <w:szCs w:val="24"/>
        </w:rPr>
        <w:t xml:space="preserve"> write a letter recommending or not recommending tenure. After this evaluation, the application will follow the typical review process as outlined in Chapter 3, Section VI of the </w:t>
      </w:r>
      <w:r w:rsidRPr="00ED382D">
        <w:rPr>
          <w:rFonts w:ascii="Times New Roman" w:hAnsi="Times New Roman"/>
          <w:i/>
          <w:iCs/>
          <w:sz w:val="24"/>
          <w:szCs w:val="24"/>
        </w:rPr>
        <w:t>Faculty Handbook</w:t>
      </w:r>
      <w:r w:rsidRPr="00ED382D">
        <w:rPr>
          <w:rFonts w:ascii="Times New Roman" w:hAnsi="Times New Roman"/>
          <w:sz w:val="24"/>
          <w:szCs w:val="24"/>
        </w:rPr>
        <w:t xml:space="preserve">, moving to the college tenure and promotion committee and then dean of the college in which the discipline is housed, before being reviewed by the provost. Except where noted above, all procedures and guidelines for tenure, including time deadlines, procedures for confidentiality, and appeal procedures, will follow those in Chapter 3 of the </w:t>
      </w:r>
      <w:r w:rsidRPr="00ED382D">
        <w:rPr>
          <w:rFonts w:ascii="Times New Roman" w:hAnsi="Times New Roman"/>
          <w:i/>
          <w:iCs/>
          <w:sz w:val="24"/>
          <w:szCs w:val="24"/>
        </w:rPr>
        <w:t>Faculty Handbook</w:t>
      </w:r>
      <w:r w:rsidRPr="00ED382D">
        <w:rPr>
          <w:rFonts w:ascii="Times New Roman" w:hAnsi="Times New Roman"/>
          <w:sz w:val="24"/>
          <w:szCs w:val="24"/>
        </w:rPr>
        <w:t>.</w:t>
      </w:r>
    </w:p>
    <w:p w:rsidR="00127D53" w:rsidRPr="00ED382D" w:rsidRDefault="00127D53" w:rsidP="00127D53">
      <w:pPr>
        <w:pStyle w:val="fhbbody2hanging"/>
        <w:spacing w:after="120" w:line="240" w:lineRule="auto"/>
        <w:ind w:left="0" w:firstLine="0"/>
        <w:rPr>
          <w:rFonts w:ascii="Times New Roman" w:hAnsi="Times New Roman"/>
          <w:sz w:val="24"/>
          <w:szCs w:val="24"/>
        </w:rPr>
      </w:pPr>
      <w:r w:rsidRPr="00ED382D">
        <w:rPr>
          <w:rFonts w:ascii="Times New Roman" w:hAnsi="Times New Roman"/>
          <w:sz w:val="24"/>
          <w:szCs w:val="24"/>
        </w:rPr>
        <w:t>3.</w:t>
      </w:r>
      <w:r w:rsidRPr="00ED382D">
        <w:rPr>
          <w:rFonts w:ascii="Times New Roman" w:hAnsi="Times New Roman"/>
          <w:sz w:val="24"/>
          <w:szCs w:val="24"/>
        </w:rPr>
        <w:tab/>
        <w:t>Location of Tenure</w:t>
      </w:r>
    </w:p>
    <w:p w:rsidR="00127D53" w:rsidRPr="00ED382D" w:rsidRDefault="00127D53" w:rsidP="00127D53">
      <w:pPr>
        <w:pStyle w:val="fhbbody3"/>
        <w:spacing w:after="120" w:line="240" w:lineRule="auto"/>
        <w:ind w:left="0"/>
        <w:rPr>
          <w:rFonts w:ascii="Times New Roman" w:hAnsi="Times New Roman"/>
          <w:sz w:val="24"/>
          <w:szCs w:val="24"/>
        </w:rPr>
      </w:pPr>
      <w:r w:rsidRPr="00ED382D">
        <w:rPr>
          <w:rFonts w:ascii="Times New Roman" w:hAnsi="Times New Roman"/>
          <w:sz w:val="24"/>
          <w:szCs w:val="24"/>
        </w:rPr>
        <w:t>Following the probationary period served in a department and the Honors College and a favorable tenure decision, a faculty member will become a full-time and permanent member of the Honors College faculty. His/her tenure will follow him/her into the Honors College.</w:t>
      </w:r>
    </w:p>
    <w:p w:rsidR="00127D53" w:rsidRPr="00ED382D" w:rsidRDefault="00127D53" w:rsidP="00127D53">
      <w:pPr>
        <w:pStyle w:val="fhbbody2hanging"/>
        <w:spacing w:after="120" w:line="240" w:lineRule="auto"/>
        <w:ind w:left="0" w:firstLine="0"/>
        <w:rPr>
          <w:rFonts w:ascii="Times New Roman" w:hAnsi="Times New Roman"/>
          <w:sz w:val="24"/>
          <w:szCs w:val="24"/>
        </w:rPr>
      </w:pPr>
      <w:r w:rsidRPr="00ED382D">
        <w:rPr>
          <w:rFonts w:ascii="Times New Roman" w:hAnsi="Times New Roman"/>
          <w:sz w:val="24"/>
          <w:szCs w:val="24"/>
        </w:rPr>
        <w:t>4.</w:t>
      </w:r>
      <w:r w:rsidRPr="00ED382D">
        <w:rPr>
          <w:rFonts w:ascii="Times New Roman" w:hAnsi="Times New Roman"/>
          <w:sz w:val="24"/>
          <w:szCs w:val="24"/>
        </w:rPr>
        <w:tab/>
        <w:t>Promotion Review</w:t>
      </w:r>
    </w:p>
    <w:p w:rsidR="00127D53" w:rsidRPr="00ED382D" w:rsidRDefault="00127D53" w:rsidP="00127D53">
      <w:pPr>
        <w:pStyle w:val="fhbbody3"/>
        <w:spacing w:after="120" w:line="240" w:lineRule="auto"/>
        <w:ind w:left="0"/>
        <w:rPr>
          <w:rFonts w:ascii="Times New Roman" w:hAnsi="Times New Roman"/>
          <w:sz w:val="24"/>
          <w:szCs w:val="24"/>
        </w:rPr>
      </w:pPr>
      <w:r w:rsidRPr="00ED382D">
        <w:rPr>
          <w:rFonts w:ascii="Times New Roman" w:hAnsi="Times New Roman"/>
          <w:sz w:val="24"/>
          <w:szCs w:val="24"/>
        </w:rPr>
        <w:t>The department-level decision regarding promotion from assistant to associate professor will be undertaken by a promotion committee consisting of the discipline appropriate department’s tenure and promotion committee and tenured Honors College faculty. The number of tenured Honors College faculty members on the promotion committee shall not exceed the number of faculty on the discipline appropriate department’s tenure and promotion committee. The tenured Honors College faculty will select which members of their tenured faculty will serve on the promotion committee.</w:t>
      </w:r>
    </w:p>
    <w:p w:rsidR="00127D53" w:rsidRPr="00ED382D" w:rsidRDefault="00127D53" w:rsidP="00127D53">
      <w:pPr>
        <w:pStyle w:val="fhbbody3"/>
        <w:spacing w:after="120" w:line="240" w:lineRule="auto"/>
        <w:ind w:left="0"/>
        <w:rPr>
          <w:rFonts w:ascii="Times New Roman" w:hAnsi="Times New Roman"/>
          <w:sz w:val="24"/>
          <w:szCs w:val="24"/>
        </w:rPr>
      </w:pPr>
      <w:r w:rsidRPr="00ED382D">
        <w:rPr>
          <w:rFonts w:ascii="Times New Roman" w:hAnsi="Times New Roman"/>
          <w:sz w:val="24"/>
          <w:szCs w:val="24"/>
        </w:rPr>
        <w:t>The department-level decision regarding promotion from associate to full professor will be undertaken by a promotion committee consisting of all the tenured faculty members of the Honors College and tenured faculty from the discipline-appropriate department. The number of tenured departmental faculty members on the promotion committee shall not exceed the number of tenured faculty members in the Honors College. The tenured faculty members of the discipline-appropriate department will select which members of their tenured faculty will serve on the promotion committee.</w:t>
      </w:r>
    </w:p>
    <w:p w:rsidR="00127D53" w:rsidRPr="00ED382D" w:rsidRDefault="00127D53" w:rsidP="00127D53">
      <w:pPr>
        <w:pStyle w:val="fhbbody3"/>
        <w:spacing w:after="120" w:line="240" w:lineRule="auto"/>
        <w:ind w:left="0"/>
        <w:rPr>
          <w:rFonts w:ascii="Times New Roman" w:hAnsi="Times New Roman"/>
          <w:sz w:val="24"/>
          <w:szCs w:val="24"/>
        </w:rPr>
      </w:pPr>
      <w:r w:rsidRPr="00ED382D">
        <w:rPr>
          <w:rFonts w:ascii="Times New Roman" w:hAnsi="Times New Roman"/>
          <w:sz w:val="24"/>
          <w:szCs w:val="24"/>
        </w:rPr>
        <w:t xml:space="preserve">The promotion committee shall make a recommendation for promotion based on all relevant criteria and explain the rationale for their recommendation in a letter to both the chair of the discipline-appropriate department and the dean of the Honors College. Positive recommendations for promotion will be placed in priority order. The chair of the department and the dean of the Honors College shall </w:t>
      </w:r>
      <w:r w:rsidRPr="00ED382D">
        <w:rPr>
          <w:rFonts w:ascii="Times New Roman" w:hAnsi="Times New Roman"/>
          <w:b/>
          <w:sz w:val="24"/>
          <w:szCs w:val="24"/>
        </w:rPr>
        <w:t>jointly</w:t>
      </w:r>
      <w:r w:rsidRPr="00ED382D">
        <w:rPr>
          <w:rFonts w:ascii="Times New Roman" w:hAnsi="Times New Roman"/>
          <w:sz w:val="24"/>
          <w:szCs w:val="24"/>
        </w:rPr>
        <w:t xml:space="preserve"> write a letter recommending or not recommending promotion. Positive recommendations for promotion will be placed in priority order. After this evaluation, the application will follow the typical review process as outlined in Chapter 3, section VI of the </w:t>
      </w:r>
      <w:r w:rsidRPr="00ED382D">
        <w:rPr>
          <w:rFonts w:ascii="Times New Roman" w:hAnsi="Times New Roman"/>
          <w:i/>
          <w:sz w:val="24"/>
          <w:szCs w:val="24"/>
        </w:rPr>
        <w:lastRenderedPageBreak/>
        <w:t>F</w:t>
      </w:r>
      <w:r w:rsidRPr="00ED382D">
        <w:rPr>
          <w:rFonts w:ascii="Times New Roman" w:hAnsi="Times New Roman"/>
          <w:i/>
          <w:iCs/>
          <w:sz w:val="24"/>
          <w:szCs w:val="24"/>
        </w:rPr>
        <w:t>aculty Handbook</w:t>
      </w:r>
      <w:r w:rsidRPr="00ED382D">
        <w:rPr>
          <w:rFonts w:ascii="Times New Roman" w:hAnsi="Times New Roman"/>
          <w:sz w:val="24"/>
          <w:szCs w:val="24"/>
        </w:rPr>
        <w:t xml:space="preserve">, moving to the college tenure and promotion committee and then dean of the college in which the discipline is housed, before being reviewed by the provost. Except where noted above, all procedures and guidelines for promotion, including time deadlines, procedures for confidentiality, and appeal procedures, will follow those in Chapter 3 of the </w:t>
      </w:r>
      <w:r w:rsidRPr="00ED382D">
        <w:rPr>
          <w:rFonts w:ascii="Times New Roman" w:hAnsi="Times New Roman"/>
          <w:i/>
          <w:iCs/>
          <w:sz w:val="24"/>
          <w:szCs w:val="24"/>
        </w:rPr>
        <w:t>Faculty Handbook</w:t>
      </w:r>
      <w:r w:rsidRPr="00ED382D">
        <w:rPr>
          <w:rFonts w:ascii="Times New Roman" w:hAnsi="Times New Roman"/>
          <w:sz w:val="24"/>
          <w:szCs w:val="24"/>
        </w:rPr>
        <w:t>.</w:t>
      </w:r>
    </w:p>
    <w:p w:rsidR="00ED382D" w:rsidRDefault="00ED382D" w:rsidP="00127D53">
      <w:pPr>
        <w:rPr>
          <w:rFonts w:cs="Times New Roman"/>
          <w:szCs w:val="24"/>
        </w:rPr>
      </w:pPr>
      <w:r>
        <w:rPr>
          <w:rFonts w:cs="Times New Roman"/>
          <w:szCs w:val="24"/>
        </w:rPr>
        <w:t>--</w:t>
      </w:r>
    </w:p>
    <w:p w:rsidR="00127D53" w:rsidRPr="00ED382D" w:rsidRDefault="00127D53" w:rsidP="00127D53">
      <w:pPr>
        <w:rPr>
          <w:rFonts w:cs="Times New Roman"/>
          <w:szCs w:val="24"/>
        </w:rPr>
      </w:pPr>
      <w:r w:rsidRPr="00ED382D">
        <w:rPr>
          <w:rFonts w:cs="Times New Roman"/>
          <w:szCs w:val="24"/>
        </w:rPr>
        <w:t xml:space="preserve">Advancement is in </w:t>
      </w:r>
    </w:p>
    <w:p w:rsidR="00127D53" w:rsidRPr="00ED382D" w:rsidRDefault="00127D53" w:rsidP="00127D53">
      <w:pPr>
        <w:rPr>
          <w:rFonts w:cs="Times New Roman"/>
          <w:szCs w:val="24"/>
        </w:rPr>
      </w:pPr>
      <w:r w:rsidRPr="00ED382D">
        <w:rPr>
          <w:rFonts w:cs="Times New Roman"/>
          <w:b/>
          <w:szCs w:val="24"/>
        </w:rPr>
        <w:t>Chapter 3 VII.</w:t>
      </w:r>
      <w:r w:rsidRPr="00ED382D">
        <w:rPr>
          <w:rFonts w:cs="Times New Roman"/>
          <w:szCs w:val="24"/>
        </w:rPr>
        <w:t xml:space="preserve"> But Honors is NOT mentioned in this section, nor is Library directly mentioned.</w:t>
      </w:r>
    </w:p>
    <w:p w:rsidR="00127D53" w:rsidRPr="00ED382D" w:rsidRDefault="00127D53">
      <w:pPr>
        <w:rPr>
          <w:rFonts w:cs="Times New Roman"/>
          <w:szCs w:val="24"/>
        </w:rPr>
      </w:pPr>
    </w:p>
    <w:sectPr w:rsidR="00127D53" w:rsidRPr="00ED38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72" w:rsidRDefault="00A30A72" w:rsidP="00127D53">
      <w:pPr>
        <w:spacing w:after="0"/>
      </w:pPr>
      <w:r>
        <w:separator/>
      </w:r>
    </w:p>
  </w:endnote>
  <w:endnote w:type="continuationSeparator" w:id="0">
    <w:p w:rsidR="00A30A72" w:rsidRDefault="00A30A72" w:rsidP="00127D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72" w:rsidRDefault="00A30A72" w:rsidP="00127D53">
      <w:pPr>
        <w:spacing w:after="0"/>
      </w:pPr>
      <w:r>
        <w:separator/>
      </w:r>
    </w:p>
  </w:footnote>
  <w:footnote w:type="continuationSeparator" w:id="0">
    <w:p w:rsidR="00A30A72" w:rsidRDefault="00A30A72" w:rsidP="00127D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D53" w:rsidRDefault="00ED382D">
    <w:pPr>
      <w:pStyle w:val="Header"/>
    </w:pPr>
    <w:r>
      <w:t>Excerpts from the 2016 Faculty Handbook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53"/>
    <w:rsid w:val="00043669"/>
    <w:rsid w:val="00127D53"/>
    <w:rsid w:val="001D7C06"/>
    <w:rsid w:val="00394F23"/>
    <w:rsid w:val="003C0DF5"/>
    <w:rsid w:val="003E2144"/>
    <w:rsid w:val="0041473E"/>
    <w:rsid w:val="004843A0"/>
    <w:rsid w:val="00697FFD"/>
    <w:rsid w:val="009E05F2"/>
    <w:rsid w:val="00A30A72"/>
    <w:rsid w:val="00B30EA9"/>
    <w:rsid w:val="00BB3E02"/>
    <w:rsid w:val="00DF197A"/>
    <w:rsid w:val="00E4770B"/>
    <w:rsid w:val="00EB5787"/>
    <w:rsid w:val="00ED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D7F0E-89A4-4EAC-B608-A17112AE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A0"/>
    <w:pPr>
      <w:spacing w:after="24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D53"/>
    <w:pPr>
      <w:tabs>
        <w:tab w:val="center" w:pos="4680"/>
        <w:tab w:val="right" w:pos="9360"/>
      </w:tabs>
      <w:spacing w:after="0"/>
    </w:pPr>
  </w:style>
  <w:style w:type="character" w:customStyle="1" w:styleId="HeaderChar">
    <w:name w:val="Header Char"/>
    <w:basedOn w:val="DefaultParagraphFont"/>
    <w:link w:val="Header"/>
    <w:uiPriority w:val="99"/>
    <w:rsid w:val="00127D53"/>
    <w:rPr>
      <w:rFonts w:ascii="Times New Roman" w:eastAsiaTheme="minorEastAsia" w:hAnsi="Times New Roman"/>
      <w:sz w:val="24"/>
    </w:rPr>
  </w:style>
  <w:style w:type="paragraph" w:styleId="Footer">
    <w:name w:val="footer"/>
    <w:basedOn w:val="Normal"/>
    <w:link w:val="FooterChar"/>
    <w:uiPriority w:val="99"/>
    <w:unhideWhenUsed/>
    <w:rsid w:val="00127D53"/>
    <w:pPr>
      <w:tabs>
        <w:tab w:val="center" w:pos="4680"/>
        <w:tab w:val="right" w:pos="9360"/>
      </w:tabs>
      <w:spacing w:after="0"/>
    </w:pPr>
  </w:style>
  <w:style w:type="character" w:customStyle="1" w:styleId="FooterChar">
    <w:name w:val="Footer Char"/>
    <w:basedOn w:val="DefaultParagraphFont"/>
    <w:link w:val="Footer"/>
    <w:uiPriority w:val="99"/>
    <w:rsid w:val="00127D53"/>
    <w:rPr>
      <w:rFonts w:ascii="Times New Roman" w:eastAsiaTheme="minorEastAsia" w:hAnsi="Times New Roman"/>
      <w:sz w:val="24"/>
    </w:rPr>
  </w:style>
  <w:style w:type="paragraph" w:customStyle="1" w:styleId="fhbbody2">
    <w:name w:val="fhb_body2"/>
    <w:basedOn w:val="Normal"/>
    <w:qFormat/>
    <w:rsid w:val="00127D53"/>
    <w:pPr>
      <w:tabs>
        <w:tab w:val="left" w:pos="720"/>
        <w:tab w:val="left" w:pos="1440"/>
        <w:tab w:val="left" w:pos="2160"/>
      </w:tabs>
      <w:spacing w:after="200" w:line="240" w:lineRule="atLeast"/>
      <w:ind w:left="1440"/>
      <w:jc w:val="both"/>
    </w:pPr>
    <w:rPr>
      <w:rFonts w:ascii="Arial" w:eastAsia="Times New Roman" w:hAnsi="Arial" w:cs="Times New Roman"/>
      <w:sz w:val="20"/>
      <w:szCs w:val="20"/>
    </w:rPr>
  </w:style>
  <w:style w:type="paragraph" w:customStyle="1" w:styleId="fhbh2">
    <w:name w:val="fhb_h2"/>
    <w:basedOn w:val="Normal"/>
    <w:next w:val="Normal"/>
    <w:rsid w:val="00127D53"/>
    <w:pPr>
      <w:keepNext/>
      <w:tabs>
        <w:tab w:val="left" w:pos="720"/>
        <w:tab w:val="left" w:pos="1440"/>
        <w:tab w:val="left" w:pos="2160"/>
      </w:tabs>
      <w:spacing w:before="240" w:after="120" w:line="260" w:lineRule="atLeast"/>
      <w:ind w:left="1440" w:hanging="720"/>
      <w:outlineLvl w:val="2"/>
    </w:pPr>
    <w:rPr>
      <w:rFonts w:ascii="Arial" w:eastAsia="Times New Roman" w:hAnsi="Arial" w:cs="Times New Roman"/>
      <w:b/>
      <w:sz w:val="20"/>
      <w:szCs w:val="18"/>
    </w:rPr>
  </w:style>
  <w:style w:type="paragraph" w:customStyle="1" w:styleId="fhbbody2hanging">
    <w:name w:val="fhb_body2_hanging"/>
    <w:basedOn w:val="Normal"/>
    <w:qFormat/>
    <w:rsid w:val="00127D53"/>
    <w:pPr>
      <w:tabs>
        <w:tab w:val="left" w:pos="720"/>
        <w:tab w:val="left" w:pos="1440"/>
        <w:tab w:val="left" w:pos="2160"/>
      </w:tabs>
      <w:spacing w:after="200" w:line="240" w:lineRule="atLeast"/>
      <w:ind w:left="2160" w:hanging="720"/>
      <w:jc w:val="both"/>
    </w:pPr>
    <w:rPr>
      <w:rFonts w:ascii="Arial" w:eastAsia="Times New Roman" w:hAnsi="Arial" w:cs="Times New Roman"/>
      <w:sz w:val="20"/>
      <w:szCs w:val="20"/>
    </w:rPr>
  </w:style>
  <w:style w:type="paragraph" w:customStyle="1" w:styleId="fhbbody3">
    <w:name w:val="fhb_body3"/>
    <w:basedOn w:val="Normal"/>
    <w:qFormat/>
    <w:rsid w:val="00127D53"/>
    <w:pPr>
      <w:tabs>
        <w:tab w:val="left" w:pos="720"/>
        <w:tab w:val="left" w:pos="1440"/>
        <w:tab w:val="left" w:pos="2160"/>
      </w:tabs>
      <w:spacing w:after="200" w:line="240" w:lineRule="atLeast"/>
      <w:ind w:left="2160"/>
      <w:jc w:val="both"/>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McKinzie</dc:creator>
  <cp:keywords/>
  <dc:description/>
  <cp:lastModifiedBy>Kaye McKinzie</cp:lastModifiedBy>
  <cp:revision>1</cp:revision>
  <dcterms:created xsi:type="dcterms:W3CDTF">2016-12-03T21:19:00Z</dcterms:created>
  <dcterms:modified xsi:type="dcterms:W3CDTF">2016-12-03T21:32:00Z</dcterms:modified>
</cp:coreProperties>
</file>