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University of Central Arkansas</w:t>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Information Systems and Technology</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Faculty Senate Report - Status of Active Directory (AD) Implementation</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All user accounts have been migrated to the AD infrastructure.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All faculty and staff PC computers have been migrated to AD.</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Faculty and staff Mac computers have not yet been migrated to AD.</w:t>
      </w:r>
      <w:r w:rsidDel="00000000" w:rsidR="00000000" w:rsidRPr="00000000">
        <w:rPr>
          <w:rtl w:val="0"/>
        </w:rPr>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Those machines will be migrated during the summer and possibly into the beginning of the fall semester.  </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IST will contact individuals with Mac computers to arrange times for the migrations to take place.  Until then, Mac computers can map a drive to an AD network share using SMB, just as they did previously to Novell using AFP.</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UCA has adopted the least privilege security model for computer access and network security.  This means that each person has the least amount of privilege necessary to perform their function at the university.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Avecto Defendpoint has been deployed to give faculty and staff users the ability to elevate certain actions on UCA-owned computers to an administrator level -- i.e. software installations.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Microsoft System Center Configuration Manager (SCCM) has been implemented to handle the workstation patching and security updates.  Employees are asked to leave UCA-owned computers on every Monday night for patching and security updates.</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Patching and updates are conducted in off-hour periods, between 11:00pm and 5:00am.</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A workstation may miss </w:t>
      </w:r>
      <w:r w:rsidDel="00000000" w:rsidR="00000000" w:rsidRPr="00000000">
        <w:rPr>
          <w:b w:val="1"/>
          <w:rtl w:val="0"/>
        </w:rPr>
        <w:t xml:space="preserve">two scheduled patching and security windows before those updates are forced to the computer on the next login</w:t>
      </w:r>
      <w:r w:rsidDel="00000000" w:rsidR="00000000" w:rsidRPr="00000000">
        <w:rPr>
          <w:rtl w:val="0"/>
        </w:rPr>
        <w:t xml:space="preserve">.  For example, if a user turns off a computer on Monday night, SCCM will do nothing and try to update the computer during the next scheduled Monday night window.  However, if the user again turns off the computer during the next scheduled Monday night window, SCCM will force the upgrades to the computer upon the next login regardless of the time of day.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Novell eDirectory is scheduled to be fully decommissioned on May 8, 2017.</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At that point in time, all services will be Microsoft-based.</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IST is currently syncing network drive and pool drive data between Novell and Active Directory weekly.  </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During the decommissioning process, the Novell client and the Sophos antivirus client will be removed from faculty and staff computers currently on AD.</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Network account management is being moved to AD.  New AD user accounts will be created, named, and managed automatically, based on user status in Banner.</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IST will be working with the computer lab managers across campus to migrate those machines to AD prior to the May 8th changeover.</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