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4F8" w:rsidRDefault="006242BA" w:rsidP="00A91E59">
      <w:pPr>
        <w:jc w:val="center"/>
        <w:rPr>
          <w:b/>
          <w:sz w:val="28"/>
          <w:szCs w:val="28"/>
        </w:rPr>
      </w:pPr>
      <w:bookmarkStart w:id="0" w:name="_GoBack"/>
      <w:bookmarkEnd w:id="0"/>
      <w:r>
        <w:rPr>
          <w:b/>
          <w:sz w:val="28"/>
          <w:szCs w:val="28"/>
        </w:rPr>
        <w:t xml:space="preserve">MA Reading List </w:t>
      </w:r>
    </w:p>
    <w:p w:rsidR="006242BA" w:rsidRDefault="006242BA" w:rsidP="00A91E59">
      <w:pPr>
        <w:jc w:val="center"/>
        <w:rPr>
          <w:b/>
          <w:sz w:val="28"/>
          <w:szCs w:val="28"/>
        </w:rPr>
      </w:pPr>
      <w:r>
        <w:rPr>
          <w:b/>
          <w:sz w:val="28"/>
          <w:szCs w:val="28"/>
        </w:rPr>
        <w:t>Summer 2015</w:t>
      </w:r>
    </w:p>
    <w:p w:rsidR="00A91E59" w:rsidRDefault="00A91E59" w:rsidP="00A91E59">
      <w:pPr>
        <w:jc w:val="center"/>
        <w:rPr>
          <w:b/>
          <w:sz w:val="28"/>
          <w:szCs w:val="28"/>
        </w:rPr>
      </w:pPr>
    </w:p>
    <w:p w:rsidR="00A91E59" w:rsidRPr="004E16A7" w:rsidRDefault="00A91E59" w:rsidP="00A91E59">
      <w:pPr>
        <w:jc w:val="center"/>
        <w:rPr>
          <w:b/>
          <w:i/>
          <w:iCs/>
          <w:sz w:val="22"/>
        </w:rPr>
      </w:pPr>
      <w:r w:rsidRPr="004E16A7">
        <w:rPr>
          <w:b/>
          <w:i/>
          <w:iCs/>
          <w:sz w:val="22"/>
        </w:rPr>
        <w:t xml:space="preserve">Medieval </w:t>
      </w:r>
    </w:p>
    <w:p w:rsidR="00A91E59" w:rsidRPr="00D1340A" w:rsidRDefault="00A91E59" w:rsidP="00A91E59">
      <w:pPr>
        <w:rPr>
          <w:b/>
          <w:iCs/>
          <w:sz w:val="22"/>
        </w:rPr>
      </w:pPr>
    </w:p>
    <w:p w:rsidR="00A91E59" w:rsidRPr="00443346" w:rsidRDefault="008555EB" w:rsidP="00A91E59">
      <w:pPr>
        <w:rPr>
          <w:iCs/>
          <w:sz w:val="22"/>
        </w:rPr>
      </w:pPr>
      <w:r w:rsidRPr="00443346">
        <w:rPr>
          <w:iCs/>
          <w:sz w:val="22"/>
        </w:rPr>
        <w:t>Old English</w:t>
      </w:r>
      <w:r w:rsidR="00A91E59" w:rsidRPr="00443346">
        <w:rPr>
          <w:iCs/>
          <w:sz w:val="22"/>
        </w:rPr>
        <w:t xml:space="preserve"> Literature</w:t>
      </w:r>
      <w:r w:rsidR="00443346">
        <w:rPr>
          <w:iCs/>
          <w:sz w:val="22"/>
        </w:rPr>
        <w:t>:</w:t>
      </w:r>
    </w:p>
    <w:p w:rsidR="00A91E59" w:rsidRPr="00A91E59" w:rsidRDefault="00A91E59" w:rsidP="00A91E59">
      <w:pPr>
        <w:rPr>
          <w:iCs/>
          <w:sz w:val="22"/>
        </w:rPr>
      </w:pPr>
    </w:p>
    <w:p w:rsidR="00A91E59" w:rsidRDefault="00A91E59" w:rsidP="00A91E59">
      <w:pPr>
        <w:ind w:left="720" w:hanging="720"/>
        <w:rPr>
          <w:iCs/>
          <w:sz w:val="22"/>
        </w:rPr>
      </w:pPr>
      <w:r>
        <w:rPr>
          <w:iCs/>
          <w:sz w:val="22"/>
        </w:rPr>
        <w:t>“The Wanderer</w:t>
      </w:r>
      <w:r w:rsidRPr="00D1340A">
        <w:rPr>
          <w:iCs/>
          <w:sz w:val="22"/>
        </w:rPr>
        <w:t xml:space="preserve">” </w:t>
      </w:r>
    </w:p>
    <w:p w:rsidR="00A91E59" w:rsidRDefault="00A91E59" w:rsidP="00A91E59">
      <w:pPr>
        <w:ind w:left="720" w:hanging="720"/>
        <w:rPr>
          <w:iCs/>
          <w:sz w:val="22"/>
        </w:rPr>
      </w:pPr>
      <w:r>
        <w:rPr>
          <w:iCs/>
          <w:sz w:val="22"/>
        </w:rPr>
        <w:t>“The Seafarer</w:t>
      </w:r>
      <w:r w:rsidRPr="00D1340A">
        <w:rPr>
          <w:iCs/>
          <w:sz w:val="22"/>
        </w:rPr>
        <w:t>”</w:t>
      </w:r>
    </w:p>
    <w:p w:rsidR="00A91E59" w:rsidRDefault="00A91E59" w:rsidP="00A91E59">
      <w:pPr>
        <w:ind w:left="720" w:hanging="720"/>
        <w:rPr>
          <w:iCs/>
          <w:sz w:val="22"/>
        </w:rPr>
      </w:pPr>
      <w:r>
        <w:rPr>
          <w:iCs/>
          <w:sz w:val="22"/>
        </w:rPr>
        <w:t xml:space="preserve">“The Battle of </w:t>
      </w:r>
      <w:proofErr w:type="spellStart"/>
      <w:r>
        <w:rPr>
          <w:iCs/>
          <w:sz w:val="22"/>
        </w:rPr>
        <w:t>Maldon</w:t>
      </w:r>
      <w:proofErr w:type="spellEnd"/>
      <w:r w:rsidRPr="00D1340A">
        <w:rPr>
          <w:iCs/>
          <w:sz w:val="22"/>
        </w:rPr>
        <w:t xml:space="preserve">” </w:t>
      </w:r>
    </w:p>
    <w:p w:rsidR="00A91E59" w:rsidRDefault="00A91E59" w:rsidP="00A91E59">
      <w:pPr>
        <w:ind w:left="720" w:hanging="720"/>
        <w:rPr>
          <w:iCs/>
          <w:sz w:val="22"/>
        </w:rPr>
      </w:pPr>
      <w:r w:rsidRPr="00D1340A">
        <w:rPr>
          <w:iCs/>
          <w:sz w:val="22"/>
        </w:rPr>
        <w:t>“The Wife’s Lament”</w:t>
      </w:r>
    </w:p>
    <w:p w:rsidR="00A91E59" w:rsidRDefault="00A91E59" w:rsidP="00A91E59">
      <w:pPr>
        <w:ind w:left="720" w:hanging="720"/>
        <w:rPr>
          <w:iCs/>
          <w:sz w:val="22"/>
        </w:rPr>
      </w:pPr>
    </w:p>
    <w:p w:rsidR="00A91E59" w:rsidRDefault="00A91E59" w:rsidP="00A91E59">
      <w:pPr>
        <w:ind w:left="720" w:hanging="720"/>
        <w:rPr>
          <w:iCs/>
          <w:sz w:val="22"/>
        </w:rPr>
      </w:pPr>
      <w:r>
        <w:rPr>
          <w:iCs/>
          <w:sz w:val="22"/>
        </w:rPr>
        <w:t>Middle English Literature</w:t>
      </w:r>
      <w:r w:rsidR="00443346">
        <w:rPr>
          <w:iCs/>
          <w:sz w:val="22"/>
        </w:rPr>
        <w:t>:</w:t>
      </w:r>
    </w:p>
    <w:p w:rsidR="00A91E59" w:rsidRPr="00D1340A" w:rsidRDefault="00A91E59" w:rsidP="00A91E59">
      <w:pPr>
        <w:ind w:left="720" w:hanging="720"/>
        <w:rPr>
          <w:sz w:val="22"/>
        </w:rPr>
      </w:pPr>
    </w:p>
    <w:p w:rsidR="006242BA" w:rsidRDefault="00A91E59" w:rsidP="006242BA">
      <w:pPr>
        <w:ind w:left="720" w:hanging="720"/>
        <w:rPr>
          <w:i/>
          <w:iCs/>
          <w:sz w:val="22"/>
        </w:rPr>
      </w:pPr>
      <w:r w:rsidRPr="00D1340A">
        <w:rPr>
          <w:sz w:val="22"/>
        </w:rPr>
        <w:t>Chaucer: “</w:t>
      </w:r>
      <w:r w:rsidRPr="00D1340A">
        <w:rPr>
          <w:iCs/>
          <w:sz w:val="22"/>
        </w:rPr>
        <w:t>General Prologue</w:t>
      </w:r>
      <w:r w:rsidR="006242BA">
        <w:rPr>
          <w:sz w:val="22"/>
        </w:rPr>
        <w:t xml:space="preserve">,” </w:t>
      </w:r>
      <w:r w:rsidRPr="00D1340A">
        <w:rPr>
          <w:sz w:val="22"/>
        </w:rPr>
        <w:t>“</w:t>
      </w:r>
      <w:r w:rsidRPr="00D1340A">
        <w:rPr>
          <w:iCs/>
          <w:sz w:val="22"/>
        </w:rPr>
        <w:t>The Miller’s Prologue and Tale</w:t>
      </w:r>
      <w:r w:rsidRPr="00D1340A">
        <w:rPr>
          <w:sz w:val="22"/>
        </w:rPr>
        <w:t>,” “The Reeve’s Tale,” “</w:t>
      </w:r>
      <w:r w:rsidRPr="00D1340A">
        <w:rPr>
          <w:iCs/>
          <w:sz w:val="22"/>
        </w:rPr>
        <w:t>The Wife of Bath’s Prologue and Tale</w:t>
      </w:r>
      <w:r w:rsidRPr="00D1340A">
        <w:rPr>
          <w:sz w:val="22"/>
        </w:rPr>
        <w:t>,” “The Clerk’s Tale,” “The Franklin’s Tale,” “</w:t>
      </w:r>
      <w:r w:rsidRPr="00D1340A">
        <w:rPr>
          <w:iCs/>
          <w:sz w:val="22"/>
        </w:rPr>
        <w:t>Words of the Host to the Physician and Pardoner</w:t>
      </w:r>
      <w:r w:rsidRPr="00D1340A">
        <w:rPr>
          <w:sz w:val="22"/>
        </w:rPr>
        <w:t xml:space="preserve">,” “The </w:t>
      </w:r>
      <w:r w:rsidRPr="00D1340A">
        <w:rPr>
          <w:iCs/>
          <w:sz w:val="22"/>
        </w:rPr>
        <w:t>Pardoner’s Prologue and Tale,” and “The Nun’s Priest Tale”</w:t>
      </w:r>
      <w:r w:rsidRPr="00D1340A">
        <w:rPr>
          <w:i/>
          <w:iCs/>
          <w:sz w:val="22"/>
        </w:rPr>
        <w:t xml:space="preserve"> </w:t>
      </w:r>
      <w:r w:rsidRPr="00D1340A">
        <w:rPr>
          <w:sz w:val="22"/>
        </w:rPr>
        <w:t xml:space="preserve">from </w:t>
      </w:r>
      <w:r w:rsidR="006242BA">
        <w:rPr>
          <w:i/>
          <w:iCs/>
          <w:sz w:val="22"/>
        </w:rPr>
        <w:t>The Canterbury Tales</w:t>
      </w:r>
    </w:p>
    <w:p w:rsidR="006242BA" w:rsidRPr="006242BA" w:rsidRDefault="006242BA" w:rsidP="006242BA">
      <w:pPr>
        <w:ind w:left="720" w:hanging="720"/>
        <w:rPr>
          <w:i/>
          <w:iCs/>
          <w:sz w:val="22"/>
        </w:rPr>
      </w:pPr>
    </w:p>
    <w:p w:rsidR="00A91E59" w:rsidRPr="008D56DD" w:rsidRDefault="006242BA" w:rsidP="00A91E59">
      <w:r>
        <w:t>S</w:t>
      </w:r>
      <w:r w:rsidR="00A91E59" w:rsidRPr="008D56DD">
        <w:t>tudents</w:t>
      </w:r>
      <w:r w:rsidR="00562BEC">
        <w:t xml:space="preserve"> should</w:t>
      </w:r>
      <w:r w:rsidR="00A91E59" w:rsidRPr="008D56DD">
        <w:t xml:space="preserve"> consult the following guides:</w:t>
      </w:r>
    </w:p>
    <w:p w:rsidR="00A91E59" w:rsidRPr="008D56DD" w:rsidRDefault="00A91E59" w:rsidP="00A91E59"/>
    <w:p w:rsidR="00A91E59" w:rsidRPr="008D56DD" w:rsidRDefault="00A91E59" w:rsidP="00A91E59">
      <w:pPr>
        <w:ind w:left="720" w:hanging="720"/>
      </w:pPr>
      <w:r w:rsidRPr="008D56DD">
        <w:rPr>
          <w:i/>
          <w:iCs/>
        </w:rPr>
        <w:t>The Cambridge Companion to Old English Literature</w:t>
      </w:r>
      <w:r w:rsidRPr="008D56DD">
        <w:t xml:space="preserve">. Ed. Malcolm Godden and Michael </w:t>
      </w:r>
      <w:proofErr w:type="spellStart"/>
      <w:r w:rsidRPr="008D56DD">
        <w:t>Lapidge</w:t>
      </w:r>
      <w:proofErr w:type="spellEnd"/>
      <w:r w:rsidRPr="008D56DD">
        <w:t>. Cambridge: Cambridge UP, 1991</w:t>
      </w:r>
      <w:r w:rsidR="008555EB" w:rsidRPr="008D56DD">
        <w:t>.</w:t>
      </w:r>
    </w:p>
    <w:p w:rsidR="00A91E59" w:rsidRPr="008D56DD" w:rsidRDefault="00A91E59" w:rsidP="00A91E59">
      <w:pPr>
        <w:ind w:left="720" w:hanging="720"/>
      </w:pPr>
      <w:r w:rsidRPr="008D56DD">
        <w:rPr>
          <w:i/>
          <w:iCs/>
        </w:rPr>
        <w:t>The Cambridge History of Medieval English Literature</w:t>
      </w:r>
      <w:r w:rsidRPr="008D56DD">
        <w:t xml:space="preserve">, ed. David Wallace (Cambridge, 1999). </w:t>
      </w:r>
    </w:p>
    <w:p w:rsidR="008D56DD" w:rsidRDefault="008D56DD" w:rsidP="00A91E59">
      <w:pPr>
        <w:rPr>
          <w:b/>
        </w:rPr>
      </w:pPr>
    </w:p>
    <w:p w:rsidR="008D56DD" w:rsidRDefault="008D56DD" w:rsidP="00A91E59">
      <w:pPr>
        <w:rPr>
          <w:b/>
        </w:rPr>
      </w:pPr>
    </w:p>
    <w:p w:rsidR="008D56DD" w:rsidRPr="004E16A7" w:rsidRDefault="008D56DD" w:rsidP="008D56DD">
      <w:pPr>
        <w:jc w:val="center"/>
        <w:rPr>
          <w:b/>
          <w:i/>
          <w:sz w:val="22"/>
          <w:szCs w:val="22"/>
        </w:rPr>
      </w:pPr>
      <w:r w:rsidRPr="004E16A7">
        <w:rPr>
          <w:b/>
          <w:i/>
          <w:sz w:val="22"/>
          <w:szCs w:val="22"/>
        </w:rPr>
        <w:t>Renaissance and Seventeenth Century</w:t>
      </w:r>
    </w:p>
    <w:p w:rsidR="008D56DD" w:rsidRPr="008D56DD" w:rsidRDefault="008D56DD" w:rsidP="008D56DD">
      <w:pPr>
        <w:jc w:val="center"/>
        <w:rPr>
          <w:b/>
          <w:sz w:val="24"/>
          <w:szCs w:val="24"/>
        </w:rPr>
      </w:pPr>
    </w:p>
    <w:p w:rsidR="008D56DD" w:rsidRPr="008D56DD" w:rsidRDefault="006242BA" w:rsidP="008D56DD">
      <w:pPr>
        <w:rPr>
          <w:sz w:val="22"/>
          <w:szCs w:val="22"/>
        </w:rPr>
      </w:pPr>
      <w:r>
        <w:rPr>
          <w:sz w:val="22"/>
          <w:szCs w:val="22"/>
        </w:rPr>
        <w:t>Sir Thomas More:</w:t>
      </w:r>
      <w:r w:rsidR="008D56DD" w:rsidRPr="008D56DD">
        <w:rPr>
          <w:sz w:val="22"/>
          <w:szCs w:val="22"/>
        </w:rPr>
        <w:t xml:space="preserve"> </w:t>
      </w:r>
      <w:r w:rsidR="008D56DD" w:rsidRPr="008D56DD">
        <w:rPr>
          <w:i/>
          <w:iCs/>
          <w:sz w:val="22"/>
          <w:szCs w:val="22"/>
        </w:rPr>
        <w:t>Utopia</w:t>
      </w:r>
    </w:p>
    <w:p w:rsidR="008D56DD" w:rsidRPr="008D56DD" w:rsidRDefault="008D56DD" w:rsidP="008D56DD">
      <w:pPr>
        <w:rPr>
          <w:sz w:val="22"/>
          <w:szCs w:val="22"/>
        </w:rPr>
      </w:pPr>
    </w:p>
    <w:p w:rsidR="008D56DD" w:rsidRPr="008D56DD" w:rsidRDefault="008D56DD" w:rsidP="008D56DD">
      <w:pPr>
        <w:ind w:left="720" w:hanging="720"/>
        <w:rPr>
          <w:sz w:val="22"/>
          <w:szCs w:val="22"/>
        </w:rPr>
      </w:pPr>
      <w:r w:rsidRPr="008D56DD">
        <w:rPr>
          <w:sz w:val="22"/>
          <w:szCs w:val="22"/>
        </w:rPr>
        <w:t>The Sonnet Tradition</w:t>
      </w:r>
    </w:p>
    <w:p w:rsidR="008D56DD" w:rsidRPr="008D56DD" w:rsidRDefault="008D56DD" w:rsidP="008D56DD">
      <w:pPr>
        <w:widowControl w:val="0"/>
        <w:numPr>
          <w:ilvl w:val="0"/>
          <w:numId w:val="1"/>
        </w:numPr>
        <w:autoSpaceDE w:val="0"/>
        <w:autoSpaceDN w:val="0"/>
        <w:adjustRightInd w:val="0"/>
        <w:rPr>
          <w:sz w:val="22"/>
          <w:szCs w:val="22"/>
        </w:rPr>
      </w:pPr>
      <w:r w:rsidRPr="008D56DD">
        <w:rPr>
          <w:sz w:val="22"/>
          <w:szCs w:val="22"/>
        </w:rPr>
        <w:t>Wil</w:t>
      </w:r>
      <w:r>
        <w:rPr>
          <w:sz w:val="22"/>
          <w:szCs w:val="22"/>
        </w:rPr>
        <w:t>liam Shakespeare:</w:t>
      </w:r>
      <w:r w:rsidRPr="008D56DD">
        <w:rPr>
          <w:sz w:val="22"/>
          <w:szCs w:val="22"/>
        </w:rPr>
        <w:t xml:space="preserve"> Sonnets 3 (“Look in thy glass and tell the face thou </w:t>
      </w:r>
      <w:proofErr w:type="spellStart"/>
      <w:r w:rsidRPr="008D56DD">
        <w:rPr>
          <w:sz w:val="22"/>
          <w:szCs w:val="22"/>
        </w:rPr>
        <w:t>viewest</w:t>
      </w:r>
      <w:proofErr w:type="spellEnd"/>
      <w:r w:rsidRPr="008D56DD">
        <w:rPr>
          <w:sz w:val="22"/>
          <w:szCs w:val="22"/>
        </w:rPr>
        <w:t xml:space="preserve">”), 18 (“Shall I compare thee to a summer’s day?”), 20 (“A woman’s face with nature’s own hand painted”), 29 (“When, in disgrace with Fortune and men’s eyes”), 30 (“When to the sessions of sweet silent thought”), 55 (“Not marble, nor the gilded monuments”), 60 (“Like as the waves make towards the pebbled shore”), 71 (“No longer mourn for me when I am dead”), 73 (“That time of year thou </w:t>
      </w:r>
      <w:proofErr w:type="spellStart"/>
      <w:r w:rsidRPr="008D56DD">
        <w:rPr>
          <w:sz w:val="22"/>
          <w:szCs w:val="22"/>
        </w:rPr>
        <w:t>mayst</w:t>
      </w:r>
      <w:proofErr w:type="spellEnd"/>
      <w:r w:rsidRPr="008D56DD">
        <w:rPr>
          <w:sz w:val="22"/>
          <w:szCs w:val="22"/>
        </w:rPr>
        <w:t xml:space="preserve"> in me behold”), 94 (“They that have power to hurt and will do none”), 116 (“Let me not to the marriage of true minds”), 129 (“</w:t>
      </w:r>
      <w:proofErr w:type="spellStart"/>
      <w:r w:rsidRPr="008D56DD">
        <w:rPr>
          <w:sz w:val="22"/>
          <w:szCs w:val="22"/>
        </w:rPr>
        <w:t>Th</w:t>
      </w:r>
      <w:proofErr w:type="spellEnd"/>
      <w:r w:rsidRPr="008D56DD">
        <w:rPr>
          <w:sz w:val="22"/>
          <w:szCs w:val="22"/>
        </w:rPr>
        <w:t>’ expense of spirit in a waste of shame”), 130 (“My mistress’ eyes are nothing like the sun”), 138 (“When my love swears that she is made of truth”), 144 (“Two loves I have of comfort and despair”), 146 (“Poor soul, the center of my sinful earth”)</w:t>
      </w:r>
    </w:p>
    <w:p w:rsidR="008D56DD" w:rsidRPr="008D56DD" w:rsidRDefault="008D56DD" w:rsidP="008D56DD">
      <w:pPr>
        <w:widowControl w:val="0"/>
        <w:numPr>
          <w:ilvl w:val="0"/>
          <w:numId w:val="1"/>
        </w:numPr>
        <w:autoSpaceDE w:val="0"/>
        <w:autoSpaceDN w:val="0"/>
        <w:adjustRightInd w:val="0"/>
        <w:rPr>
          <w:sz w:val="22"/>
          <w:szCs w:val="22"/>
        </w:rPr>
      </w:pPr>
      <w:r w:rsidRPr="008D56DD">
        <w:rPr>
          <w:sz w:val="22"/>
          <w:szCs w:val="22"/>
        </w:rPr>
        <w:t>John</w:t>
      </w:r>
      <w:r>
        <w:rPr>
          <w:sz w:val="22"/>
          <w:szCs w:val="22"/>
        </w:rPr>
        <w:t xml:space="preserve"> Milton:</w:t>
      </w:r>
      <w:r w:rsidRPr="008D56DD">
        <w:rPr>
          <w:sz w:val="22"/>
          <w:szCs w:val="22"/>
        </w:rPr>
        <w:t xml:space="preserve"> “On the New Forcers of Conscience,” “When I Consider How My Light Is Spent,”</w:t>
      </w:r>
      <w:r>
        <w:rPr>
          <w:sz w:val="22"/>
          <w:szCs w:val="22"/>
        </w:rPr>
        <w:t xml:space="preserve"> </w:t>
      </w:r>
      <w:r w:rsidRPr="008D56DD">
        <w:rPr>
          <w:sz w:val="22"/>
          <w:szCs w:val="22"/>
        </w:rPr>
        <w:t xml:space="preserve">“On the Late Massacre in Piedmont” </w:t>
      </w:r>
    </w:p>
    <w:p w:rsidR="008D56DD" w:rsidRPr="008D56DD" w:rsidRDefault="008D56DD" w:rsidP="008D56DD">
      <w:pPr>
        <w:rPr>
          <w:sz w:val="22"/>
          <w:szCs w:val="22"/>
        </w:rPr>
      </w:pPr>
    </w:p>
    <w:p w:rsidR="008D56DD" w:rsidRPr="008D56DD" w:rsidRDefault="008D56DD" w:rsidP="008D56DD">
      <w:pPr>
        <w:pStyle w:val="NormalWeb"/>
        <w:spacing w:before="0" w:beforeAutospacing="0" w:after="0" w:afterAutospacing="0"/>
        <w:rPr>
          <w:rStyle w:val="Emphasis"/>
          <w:iCs/>
          <w:sz w:val="22"/>
          <w:szCs w:val="22"/>
        </w:rPr>
      </w:pPr>
      <w:r w:rsidRPr="008D56DD">
        <w:rPr>
          <w:sz w:val="22"/>
          <w:szCs w:val="22"/>
        </w:rPr>
        <w:t>William Shakespeare</w:t>
      </w:r>
      <w:r w:rsidR="004C260D">
        <w:rPr>
          <w:sz w:val="22"/>
          <w:szCs w:val="22"/>
        </w:rPr>
        <w:t>:</w:t>
      </w:r>
      <w:r w:rsidRPr="008D56DD">
        <w:rPr>
          <w:sz w:val="22"/>
          <w:szCs w:val="22"/>
        </w:rPr>
        <w:t xml:space="preserve"> </w:t>
      </w:r>
      <w:r w:rsidRPr="008D56DD">
        <w:rPr>
          <w:rStyle w:val="Emphasis"/>
          <w:iCs/>
          <w:sz w:val="22"/>
          <w:szCs w:val="22"/>
        </w:rPr>
        <w:t>Hamlet, King Lea</w:t>
      </w:r>
      <w:r w:rsidR="006242BA">
        <w:rPr>
          <w:rStyle w:val="Emphasis"/>
          <w:iCs/>
          <w:sz w:val="22"/>
          <w:szCs w:val="22"/>
        </w:rPr>
        <w:t>r, 1 Henry IV</w:t>
      </w:r>
    </w:p>
    <w:p w:rsidR="008D56DD" w:rsidRPr="008D56DD" w:rsidRDefault="004C260D" w:rsidP="008D56DD">
      <w:pPr>
        <w:ind w:left="720" w:hanging="720"/>
        <w:rPr>
          <w:i/>
          <w:sz w:val="22"/>
          <w:szCs w:val="22"/>
        </w:rPr>
      </w:pPr>
      <w:r>
        <w:rPr>
          <w:sz w:val="22"/>
          <w:szCs w:val="22"/>
        </w:rPr>
        <w:t>Ben Jonson:</w:t>
      </w:r>
      <w:r w:rsidR="008D56DD" w:rsidRPr="008D56DD">
        <w:rPr>
          <w:sz w:val="22"/>
          <w:szCs w:val="22"/>
        </w:rPr>
        <w:t xml:space="preserve"> </w:t>
      </w:r>
      <w:r w:rsidR="008D56DD" w:rsidRPr="008D56DD">
        <w:rPr>
          <w:i/>
          <w:sz w:val="22"/>
          <w:szCs w:val="22"/>
        </w:rPr>
        <w:t>Bartholomew Fair</w:t>
      </w:r>
      <w:r w:rsidR="008D56DD" w:rsidRPr="008D56DD">
        <w:rPr>
          <w:sz w:val="22"/>
          <w:szCs w:val="22"/>
        </w:rPr>
        <w:t xml:space="preserve"> </w:t>
      </w:r>
    </w:p>
    <w:p w:rsidR="008D56DD" w:rsidRPr="008D56DD" w:rsidRDefault="008D56DD" w:rsidP="008D56DD">
      <w:pPr>
        <w:ind w:left="720" w:hanging="720"/>
        <w:rPr>
          <w:sz w:val="22"/>
          <w:szCs w:val="22"/>
        </w:rPr>
      </w:pPr>
    </w:p>
    <w:p w:rsidR="006242BA" w:rsidRPr="008D56DD" w:rsidRDefault="006242BA" w:rsidP="00132054">
      <w:pPr>
        <w:widowControl w:val="0"/>
        <w:autoSpaceDE w:val="0"/>
        <w:autoSpaceDN w:val="0"/>
        <w:adjustRightInd w:val="0"/>
        <w:rPr>
          <w:sz w:val="22"/>
          <w:szCs w:val="22"/>
        </w:rPr>
      </w:pPr>
    </w:p>
    <w:p w:rsidR="008D56DD" w:rsidRPr="008D56DD" w:rsidRDefault="004C260D" w:rsidP="008D56DD">
      <w:pPr>
        <w:rPr>
          <w:sz w:val="22"/>
          <w:szCs w:val="22"/>
        </w:rPr>
      </w:pPr>
      <w:proofErr w:type="spellStart"/>
      <w:r>
        <w:rPr>
          <w:sz w:val="22"/>
          <w:szCs w:val="22"/>
        </w:rPr>
        <w:t>Aemilia</w:t>
      </w:r>
      <w:proofErr w:type="spellEnd"/>
      <w:r>
        <w:rPr>
          <w:sz w:val="22"/>
          <w:szCs w:val="22"/>
        </w:rPr>
        <w:t xml:space="preserve"> </w:t>
      </w:r>
      <w:proofErr w:type="spellStart"/>
      <w:r>
        <w:rPr>
          <w:sz w:val="22"/>
          <w:szCs w:val="22"/>
        </w:rPr>
        <w:t>Lanyer</w:t>
      </w:r>
      <w:proofErr w:type="spellEnd"/>
      <w:r>
        <w:rPr>
          <w:sz w:val="22"/>
          <w:szCs w:val="22"/>
        </w:rPr>
        <w:t>:</w:t>
      </w:r>
      <w:r w:rsidR="008D56DD" w:rsidRPr="008D56DD">
        <w:rPr>
          <w:sz w:val="22"/>
          <w:szCs w:val="22"/>
        </w:rPr>
        <w:t xml:space="preserve"> “The Description of </w:t>
      </w:r>
      <w:proofErr w:type="spellStart"/>
      <w:r w:rsidR="008D56DD" w:rsidRPr="008D56DD">
        <w:rPr>
          <w:sz w:val="22"/>
          <w:szCs w:val="22"/>
        </w:rPr>
        <w:t>Cookham</w:t>
      </w:r>
      <w:proofErr w:type="spellEnd"/>
      <w:r w:rsidR="008D56DD" w:rsidRPr="008D56DD">
        <w:rPr>
          <w:sz w:val="22"/>
          <w:szCs w:val="22"/>
        </w:rPr>
        <w:t>”</w:t>
      </w:r>
    </w:p>
    <w:p w:rsidR="008D56DD" w:rsidRPr="00DA7E85" w:rsidRDefault="004C260D" w:rsidP="008D56DD">
      <w:pPr>
        <w:rPr>
          <w:sz w:val="22"/>
          <w:szCs w:val="22"/>
        </w:rPr>
      </w:pPr>
      <w:r>
        <w:rPr>
          <w:sz w:val="22"/>
          <w:szCs w:val="22"/>
        </w:rPr>
        <w:t>John Milton:</w:t>
      </w:r>
      <w:r w:rsidR="008D56DD" w:rsidRPr="008D56DD">
        <w:rPr>
          <w:sz w:val="22"/>
          <w:szCs w:val="22"/>
        </w:rPr>
        <w:t xml:space="preserve">  </w:t>
      </w:r>
      <w:proofErr w:type="spellStart"/>
      <w:r w:rsidR="006242BA">
        <w:rPr>
          <w:i/>
          <w:iCs/>
          <w:sz w:val="22"/>
          <w:szCs w:val="22"/>
        </w:rPr>
        <w:t>Areopagitica</w:t>
      </w:r>
      <w:proofErr w:type="spellEnd"/>
    </w:p>
    <w:p w:rsidR="001D2666" w:rsidRDefault="001D2666" w:rsidP="001D2666">
      <w:pPr>
        <w:jc w:val="center"/>
        <w:rPr>
          <w:b/>
          <w:i/>
          <w:sz w:val="22"/>
          <w:szCs w:val="22"/>
        </w:rPr>
      </w:pPr>
      <w:r w:rsidRPr="001D2666">
        <w:rPr>
          <w:b/>
          <w:i/>
          <w:sz w:val="22"/>
          <w:szCs w:val="22"/>
        </w:rPr>
        <w:lastRenderedPageBreak/>
        <w:t>Restoration and Eighteenth Century</w:t>
      </w:r>
    </w:p>
    <w:p w:rsidR="001D2666" w:rsidRPr="001D2666" w:rsidRDefault="001D2666" w:rsidP="001D2666">
      <w:pPr>
        <w:jc w:val="center"/>
        <w:rPr>
          <w:b/>
          <w:sz w:val="22"/>
          <w:szCs w:val="22"/>
        </w:rPr>
      </w:pPr>
    </w:p>
    <w:p w:rsidR="001D2666" w:rsidRPr="001D2666" w:rsidRDefault="001D2666" w:rsidP="001D2666">
      <w:pPr>
        <w:rPr>
          <w:i/>
          <w:sz w:val="22"/>
          <w:szCs w:val="22"/>
        </w:rPr>
      </w:pPr>
      <w:r w:rsidRPr="001D2666">
        <w:rPr>
          <w:sz w:val="22"/>
          <w:szCs w:val="22"/>
        </w:rPr>
        <w:t>William Congreve</w:t>
      </w:r>
      <w:r>
        <w:rPr>
          <w:sz w:val="22"/>
          <w:szCs w:val="22"/>
        </w:rPr>
        <w:t xml:space="preserve">: </w:t>
      </w:r>
      <w:r w:rsidRPr="001D2666">
        <w:rPr>
          <w:i/>
          <w:sz w:val="22"/>
          <w:szCs w:val="22"/>
        </w:rPr>
        <w:t>The Way of the World</w:t>
      </w:r>
    </w:p>
    <w:p w:rsidR="001D2666" w:rsidRPr="00F71B6C" w:rsidRDefault="001D2666" w:rsidP="001D2666">
      <w:pPr>
        <w:rPr>
          <w:sz w:val="22"/>
          <w:szCs w:val="22"/>
        </w:rPr>
      </w:pPr>
      <w:r>
        <w:rPr>
          <w:sz w:val="22"/>
          <w:szCs w:val="22"/>
        </w:rPr>
        <w:t xml:space="preserve">Alexander Pope: </w:t>
      </w:r>
      <w:r w:rsidRPr="001D2666">
        <w:rPr>
          <w:sz w:val="22"/>
          <w:szCs w:val="22"/>
        </w:rPr>
        <w:t xml:space="preserve"> </w:t>
      </w:r>
      <w:r w:rsidRPr="001D2666">
        <w:rPr>
          <w:i/>
          <w:sz w:val="22"/>
          <w:szCs w:val="22"/>
        </w:rPr>
        <w:t>Essay o</w:t>
      </w:r>
      <w:r w:rsidR="003357B6">
        <w:rPr>
          <w:i/>
          <w:sz w:val="22"/>
          <w:szCs w:val="22"/>
        </w:rPr>
        <w:t>n Criticism</w:t>
      </w:r>
    </w:p>
    <w:p w:rsidR="001D2666" w:rsidRPr="001D2666" w:rsidRDefault="001D2666" w:rsidP="001D2666">
      <w:pPr>
        <w:rPr>
          <w:i/>
          <w:sz w:val="22"/>
          <w:szCs w:val="22"/>
        </w:rPr>
      </w:pPr>
      <w:r>
        <w:rPr>
          <w:sz w:val="22"/>
          <w:szCs w:val="22"/>
        </w:rPr>
        <w:t>John Gay:</w:t>
      </w:r>
      <w:r w:rsidRPr="001D2666">
        <w:rPr>
          <w:sz w:val="22"/>
          <w:szCs w:val="22"/>
        </w:rPr>
        <w:t xml:space="preserve"> </w:t>
      </w:r>
      <w:r w:rsidRPr="001D2666">
        <w:rPr>
          <w:i/>
          <w:sz w:val="22"/>
          <w:szCs w:val="22"/>
        </w:rPr>
        <w:t>The Beggar’s Opera</w:t>
      </w:r>
    </w:p>
    <w:p w:rsidR="001D2666" w:rsidRPr="001D2666" w:rsidRDefault="001D2666" w:rsidP="001D2666">
      <w:pPr>
        <w:rPr>
          <w:sz w:val="22"/>
          <w:szCs w:val="22"/>
        </w:rPr>
      </w:pPr>
      <w:r>
        <w:rPr>
          <w:sz w:val="22"/>
          <w:szCs w:val="22"/>
        </w:rPr>
        <w:t>William Collins:</w:t>
      </w:r>
      <w:r w:rsidRPr="001D2666">
        <w:rPr>
          <w:sz w:val="22"/>
          <w:szCs w:val="22"/>
        </w:rPr>
        <w:t xml:space="preserve"> “Ode on the Poetical Character,” “Ode to Evening”</w:t>
      </w:r>
    </w:p>
    <w:p w:rsidR="001D2666" w:rsidRPr="001D2666" w:rsidRDefault="001D2666" w:rsidP="001D2666">
      <w:pPr>
        <w:rPr>
          <w:i/>
          <w:sz w:val="22"/>
          <w:szCs w:val="22"/>
        </w:rPr>
      </w:pPr>
      <w:r w:rsidRPr="001D2666">
        <w:rPr>
          <w:sz w:val="22"/>
          <w:szCs w:val="22"/>
        </w:rPr>
        <w:t>Oli</w:t>
      </w:r>
      <w:r>
        <w:rPr>
          <w:sz w:val="22"/>
          <w:szCs w:val="22"/>
        </w:rPr>
        <w:t>ver Goldsmith:</w:t>
      </w:r>
      <w:r w:rsidRPr="001D2666">
        <w:rPr>
          <w:sz w:val="22"/>
          <w:szCs w:val="22"/>
        </w:rPr>
        <w:t xml:space="preserve"> </w:t>
      </w:r>
      <w:r w:rsidRPr="001D2666">
        <w:rPr>
          <w:i/>
          <w:sz w:val="22"/>
          <w:szCs w:val="22"/>
        </w:rPr>
        <w:t>She Stoops to Conquer</w:t>
      </w:r>
      <w:r>
        <w:rPr>
          <w:i/>
          <w:sz w:val="22"/>
          <w:szCs w:val="22"/>
        </w:rPr>
        <w:t xml:space="preserve">, </w:t>
      </w:r>
      <w:r w:rsidRPr="001D2666">
        <w:rPr>
          <w:sz w:val="22"/>
          <w:szCs w:val="22"/>
        </w:rPr>
        <w:t>“The Deserted Village”</w:t>
      </w:r>
    </w:p>
    <w:p w:rsidR="001D2666" w:rsidRPr="001D2666" w:rsidRDefault="001D2666" w:rsidP="001D2666">
      <w:pPr>
        <w:rPr>
          <w:i/>
          <w:sz w:val="22"/>
          <w:szCs w:val="22"/>
        </w:rPr>
      </w:pPr>
      <w:r>
        <w:rPr>
          <w:sz w:val="22"/>
          <w:szCs w:val="22"/>
        </w:rPr>
        <w:t>Richard B. Sheridan:</w:t>
      </w:r>
      <w:r w:rsidRPr="001D2666">
        <w:rPr>
          <w:sz w:val="22"/>
          <w:szCs w:val="22"/>
        </w:rPr>
        <w:t xml:space="preserve"> </w:t>
      </w:r>
      <w:r w:rsidRPr="001D2666">
        <w:rPr>
          <w:i/>
          <w:sz w:val="22"/>
          <w:szCs w:val="22"/>
        </w:rPr>
        <w:t>The School for Scandal</w:t>
      </w:r>
    </w:p>
    <w:p w:rsidR="001D2666" w:rsidRDefault="001D2666" w:rsidP="001D2666">
      <w:pPr>
        <w:rPr>
          <w:u w:val="single"/>
        </w:rPr>
      </w:pPr>
    </w:p>
    <w:p w:rsidR="00CB6AF9" w:rsidRDefault="00CB6AF9" w:rsidP="001D2666"/>
    <w:p w:rsidR="00CB6AF9" w:rsidRPr="000A5D93" w:rsidRDefault="00F71B6C" w:rsidP="000A5D93">
      <w:pPr>
        <w:jc w:val="center"/>
        <w:rPr>
          <w:i/>
          <w:sz w:val="22"/>
          <w:szCs w:val="22"/>
        </w:rPr>
      </w:pPr>
      <w:r>
        <w:rPr>
          <w:b/>
          <w:i/>
          <w:sz w:val="22"/>
          <w:szCs w:val="22"/>
        </w:rPr>
        <w:t>Nineteenth-</w:t>
      </w:r>
      <w:r w:rsidR="00CB6AF9" w:rsidRPr="000A5D93">
        <w:rPr>
          <w:b/>
          <w:i/>
          <w:sz w:val="22"/>
          <w:szCs w:val="22"/>
        </w:rPr>
        <w:t>Century</w:t>
      </w:r>
      <w:r w:rsidR="00996D89">
        <w:rPr>
          <w:b/>
          <w:i/>
          <w:sz w:val="22"/>
          <w:szCs w:val="22"/>
        </w:rPr>
        <w:t xml:space="preserve"> British</w:t>
      </w:r>
    </w:p>
    <w:p w:rsidR="00CB6AF9" w:rsidRPr="00CB6AF9" w:rsidRDefault="00CB6AF9" w:rsidP="00CB6AF9">
      <w:pPr>
        <w:rPr>
          <w:sz w:val="22"/>
          <w:szCs w:val="22"/>
        </w:rPr>
      </w:pPr>
    </w:p>
    <w:p w:rsidR="00CB6AF9" w:rsidRPr="00CB6AF9" w:rsidRDefault="00CB6AF9" w:rsidP="00CB6AF9">
      <w:pPr>
        <w:rPr>
          <w:sz w:val="22"/>
          <w:szCs w:val="22"/>
        </w:rPr>
      </w:pPr>
      <w:r w:rsidRPr="00CB6AF9">
        <w:rPr>
          <w:sz w:val="22"/>
          <w:szCs w:val="22"/>
        </w:rPr>
        <w:t xml:space="preserve">Sir Walter Scott: </w:t>
      </w:r>
      <w:r w:rsidRPr="00CB6AF9">
        <w:rPr>
          <w:i/>
          <w:sz w:val="22"/>
          <w:szCs w:val="22"/>
        </w:rPr>
        <w:t>Rob Roy</w:t>
      </w:r>
      <w:r w:rsidRPr="00CB6AF9">
        <w:rPr>
          <w:sz w:val="22"/>
          <w:szCs w:val="22"/>
        </w:rPr>
        <w:t xml:space="preserve"> </w:t>
      </w:r>
    </w:p>
    <w:p w:rsidR="00CB6AF9" w:rsidRPr="00CB6AF9" w:rsidRDefault="00CB6AF9" w:rsidP="00CB6AF9">
      <w:pPr>
        <w:rPr>
          <w:sz w:val="22"/>
          <w:szCs w:val="22"/>
        </w:rPr>
      </w:pPr>
      <w:r w:rsidRPr="00CB6AF9">
        <w:rPr>
          <w:sz w:val="22"/>
          <w:szCs w:val="22"/>
        </w:rPr>
        <w:t xml:space="preserve">Mary Shelley: </w:t>
      </w:r>
      <w:r w:rsidRPr="00CB6AF9">
        <w:rPr>
          <w:i/>
          <w:sz w:val="22"/>
          <w:szCs w:val="22"/>
        </w:rPr>
        <w:t>Frankenstein</w:t>
      </w:r>
    </w:p>
    <w:p w:rsidR="00CB6AF9" w:rsidRPr="00CB6AF9" w:rsidRDefault="00CB6AF9" w:rsidP="00CB6AF9">
      <w:pPr>
        <w:rPr>
          <w:sz w:val="22"/>
          <w:szCs w:val="22"/>
        </w:rPr>
      </w:pPr>
      <w:r w:rsidRPr="00CB6AF9">
        <w:rPr>
          <w:sz w:val="22"/>
          <w:szCs w:val="22"/>
        </w:rPr>
        <w:t xml:space="preserve">John Ruskin: “The Roots of Honor” from </w:t>
      </w:r>
      <w:r w:rsidRPr="00CB6AF9">
        <w:rPr>
          <w:i/>
          <w:sz w:val="22"/>
          <w:szCs w:val="22"/>
        </w:rPr>
        <w:t>Unto This Last</w:t>
      </w:r>
      <w:r w:rsidRPr="00CB6AF9">
        <w:rPr>
          <w:sz w:val="22"/>
          <w:szCs w:val="22"/>
        </w:rPr>
        <w:t xml:space="preserve">, “The Nature of Gothic” from </w:t>
      </w:r>
      <w:proofErr w:type="gramStart"/>
      <w:r w:rsidRPr="00CB6AF9">
        <w:rPr>
          <w:i/>
          <w:sz w:val="22"/>
          <w:szCs w:val="22"/>
        </w:rPr>
        <w:t>The</w:t>
      </w:r>
      <w:proofErr w:type="gramEnd"/>
      <w:r w:rsidRPr="00CB6AF9">
        <w:rPr>
          <w:i/>
          <w:sz w:val="22"/>
          <w:szCs w:val="22"/>
        </w:rPr>
        <w:t xml:space="preserve"> </w:t>
      </w:r>
      <w:r w:rsidR="00E52D3D">
        <w:rPr>
          <w:i/>
          <w:sz w:val="22"/>
          <w:szCs w:val="22"/>
        </w:rPr>
        <w:tab/>
      </w:r>
      <w:r w:rsidRPr="00CB6AF9">
        <w:rPr>
          <w:i/>
          <w:sz w:val="22"/>
          <w:szCs w:val="22"/>
        </w:rPr>
        <w:t>Stones of Venice</w:t>
      </w:r>
    </w:p>
    <w:p w:rsidR="00CB6AF9" w:rsidRPr="00CB6AF9" w:rsidRDefault="003357B6" w:rsidP="00CB6AF9">
      <w:pPr>
        <w:rPr>
          <w:sz w:val="22"/>
          <w:szCs w:val="22"/>
        </w:rPr>
      </w:pPr>
      <w:r>
        <w:rPr>
          <w:sz w:val="22"/>
          <w:szCs w:val="22"/>
        </w:rPr>
        <w:t xml:space="preserve">Matthew Arnold: </w:t>
      </w:r>
      <w:r w:rsidR="00CB6AF9" w:rsidRPr="00CB6AF9">
        <w:rPr>
          <w:sz w:val="22"/>
          <w:szCs w:val="22"/>
        </w:rPr>
        <w:t xml:space="preserve">“The Function of Criticism at the Present Time,” “The Study </w:t>
      </w:r>
      <w:proofErr w:type="gramStart"/>
      <w:r w:rsidR="00CB6AF9" w:rsidRPr="00CB6AF9">
        <w:rPr>
          <w:sz w:val="22"/>
          <w:szCs w:val="22"/>
        </w:rPr>
        <w:t xml:space="preserve">of </w:t>
      </w:r>
      <w:r>
        <w:rPr>
          <w:sz w:val="22"/>
          <w:szCs w:val="22"/>
        </w:rPr>
        <w:t xml:space="preserve"> </w:t>
      </w:r>
      <w:r w:rsidR="00CB6AF9" w:rsidRPr="00CB6AF9">
        <w:rPr>
          <w:sz w:val="22"/>
          <w:szCs w:val="22"/>
        </w:rPr>
        <w:t>Poetry</w:t>
      </w:r>
      <w:proofErr w:type="gramEnd"/>
      <w:r w:rsidR="00CB6AF9" w:rsidRPr="00CB6AF9">
        <w:rPr>
          <w:sz w:val="22"/>
          <w:szCs w:val="22"/>
        </w:rPr>
        <w:t>”</w:t>
      </w:r>
    </w:p>
    <w:p w:rsidR="00E52D3D" w:rsidRDefault="00E52D3D" w:rsidP="00CB6AF9">
      <w:pPr>
        <w:rPr>
          <w:sz w:val="22"/>
          <w:szCs w:val="22"/>
        </w:rPr>
      </w:pPr>
      <w:r w:rsidRPr="00CB6AF9">
        <w:rPr>
          <w:sz w:val="22"/>
          <w:szCs w:val="22"/>
        </w:rPr>
        <w:t xml:space="preserve">W.M. Thackeray: </w:t>
      </w:r>
      <w:r w:rsidRPr="00CB6AF9">
        <w:rPr>
          <w:i/>
          <w:sz w:val="22"/>
          <w:szCs w:val="22"/>
        </w:rPr>
        <w:t>Vanity Fair</w:t>
      </w:r>
    </w:p>
    <w:p w:rsidR="00CB6AF9" w:rsidRPr="00CB6AF9" w:rsidRDefault="00CB6AF9" w:rsidP="00CB6AF9">
      <w:pPr>
        <w:rPr>
          <w:sz w:val="22"/>
          <w:szCs w:val="22"/>
        </w:rPr>
      </w:pPr>
      <w:r w:rsidRPr="00CB6AF9">
        <w:rPr>
          <w:sz w:val="22"/>
          <w:szCs w:val="22"/>
        </w:rPr>
        <w:t xml:space="preserve">Charles Dickens: </w:t>
      </w:r>
      <w:r w:rsidRPr="00CB6AF9">
        <w:rPr>
          <w:i/>
          <w:sz w:val="22"/>
          <w:szCs w:val="22"/>
        </w:rPr>
        <w:t>Great Expectations</w:t>
      </w:r>
    </w:p>
    <w:p w:rsidR="00E52D3D" w:rsidRDefault="00C42B87" w:rsidP="00CB6AF9">
      <w:pPr>
        <w:rPr>
          <w:sz w:val="22"/>
          <w:szCs w:val="22"/>
        </w:rPr>
      </w:pPr>
      <w:r>
        <w:rPr>
          <w:sz w:val="22"/>
          <w:szCs w:val="22"/>
        </w:rPr>
        <w:t>Robert Louis Stevenson:</w:t>
      </w:r>
      <w:r w:rsidR="00CB6AF9" w:rsidRPr="00CB6AF9">
        <w:rPr>
          <w:sz w:val="22"/>
          <w:szCs w:val="22"/>
        </w:rPr>
        <w:t xml:space="preserve"> </w:t>
      </w:r>
      <w:r w:rsidR="00E52D3D" w:rsidRPr="00996D89">
        <w:rPr>
          <w:i/>
          <w:sz w:val="22"/>
          <w:szCs w:val="22"/>
        </w:rPr>
        <w:t xml:space="preserve">The </w:t>
      </w:r>
      <w:r w:rsidR="00CB6AF9" w:rsidRPr="00CB6AF9">
        <w:rPr>
          <w:i/>
          <w:sz w:val="22"/>
          <w:szCs w:val="22"/>
        </w:rPr>
        <w:t>Strange Case of Dr</w:t>
      </w:r>
      <w:r w:rsidR="00996D89">
        <w:rPr>
          <w:i/>
          <w:sz w:val="22"/>
          <w:szCs w:val="22"/>
        </w:rPr>
        <w:t>.</w:t>
      </w:r>
      <w:r w:rsidR="00CB6AF9" w:rsidRPr="00CB6AF9">
        <w:rPr>
          <w:i/>
          <w:sz w:val="22"/>
          <w:szCs w:val="22"/>
        </w:rPr>
        <w:t xml:space="preserve"> Jekyll and Mr</w:t>
      </w:r>
      <w:r w:rsidR="00996D89">
        <w:rPr>
          <w:i/>
          <w:sz w:val="22"/>
          <w:szCs w:val="22"/>
        </w:rPr>
        <w:t>.</w:t>
      </w:r>
      <w:r w:rsidR="00CB6AF9" w:rsidRPr="00CB6AF9">
        <w:rPr>
          <w:i/>
          <w:sz w:val="22"/>
          <w:szCs w:val="22"/>
        </w:rPr>
        <w:t xml:space="preserve"> Hyde</w:t>
      </w:r>
      <w:r w:rsidR="00CB6AF9" w:rsidRPr="00CB6AF9">
        <w:rPr>
          <w:sz w:val="22"/>
          <w:szCs w:val="22"/>
        </w:rPr>
        <w:t xml:space="preserve"> </w:t>
      </w:r>
    </w:p>
    <w:p w:rsidR="008555EB" w:rsidRPr="00CB6AF9" w:rsidRDefault="008555EB" w:rsidP="00A91E59">
      <w:pPr>
        <w:rPr>
          <w:b/>
          <w:sz w:val="22"/>
          <w:szCs w:val="22"/>
        </w:rPr>
      </w:pPr>
    </w:p>
    <w:p w:rsidR="008555EB" w:rsidRDefault="008555EB" w:rsidP="00A91E59">
      <w:pPr>
        <w:rPr>
          <w:b/>
          <w:sz w:val="22"/>
          <w:szCs w:val="22"/>
        </w:rPr>
      </w:pPr>
    </w:p>
    <w:p w:rsidR="00C42B87" w:rsidRPr="00C42B87" w:rsidRDefault="00F71B6C" w:rsidP="00C42B87">
      <w:pPr>
        <w:pStyle w:val="Heading1"/>
        <w:rPr>
          <w:i/>
          <w:sz w:val="22"/>
          <w:szCs w:val="22"/>
        </w:rPr>
      </w:pPr>
      <w:r>
        <w:rPr>
          <w:i/>
          <w:sz w:val="22"/>
          <w:szCs w:val="22"/>
        </w:rPr>
        <w:t>Twentieth-</w:t>
      </w:r>
      <w:r w:rsidR="00996D89">
        <w:rPr>
          <w:i/>
          <w:sz w:val="22"/>
          <w:szCs w:val="22"/>
        </w:rPr>
        <w:t>Century British</w:t>
      </w:r>
      <w:r w:rsidR="00E11B6B">
        <w:rPr>
          <w:i/>
          <w:sz w:val="22"/>
          <w:szCs w:val="22"/>
        </w:rPr>
        <w:t>/Postcolonial</w:t>
      </w:r>
    </w:p>
    <w:p w:rsidR="00C42B87" w:rsidRPr="00C42B87" w:rsidRDefault="00C42B87" w:rsidP="00C42B87">
      <w:pPr>
        <w:rPr>
          <w:i/>
          <w:iCs/>
          <w:sz w:val="22"/>
          <w:szCs w:val="22"/>
        </w:rPr>
      </w:pPr>
    </w:p>
    <w:p w:rsidR="00C42B87" w:rsidRPr="00C42B87" w:rsidRDefault="00C42B87" w:rsidP="00C42B87">
      <w:pPr>
        <w:ind w:left="720" w:hanging="720"/>
        <w:rPr>
          <w:sz w:val="22"/>
          <w:szCs w:val="22"/>
        </w:rPr>
      </w:pPr>
      <w:r w:rsidRPr="00C42B87">
        <w:rPr>
          <w:sz w:val="22"/>
          <w:szCs w:val="22"/>
        </w:rPr>
        <w:t>Thomas Hardy:  “Hap,” “The Darkling Thrush,” “The Convergence of the Twain,”</w:t>
      </w:r>
    </w:p>
    <w:p w:rsidR="00C42B87" w:rsidRPr="00C42B87" w:rsidRDefault="00C42B87" w:rsidP="00C42B87">
      <w:pPr>
        <w:ind w:left="720"/>
        <w:rPr>
          <w:sz w:val="22"/>
          <w:szCs w:val="22"/>
        </w:rPr>
      </w:pPr>
      <w:r w:rsidRPr="00C42B87">
        <w:rPr>
          <w:sz w:val="22"/>
          <w:szCs w:val="22"/>
        </w:rPr>
        <w:t>“Neutral Tones,” “Channel Firing”</w:t>
      </w:r>
    </w:p>
    <w:p w:rsidR="00C42B87" w:rsidRPr="00C42B87" w:rsidRDefault="00C42B87" w:rsidP="00C42B87">
      <w:pPr>
        <w:rPr>
          <w:sz w:val="22"/>
          <w:szCs w:val="22"/>
        </w:rPr>
      </w:pPr>
      <w:r w:rsidRPr="00C42B87">
        <w:rPr>
          <w:sz w:val="22"/>
          <w:szCs w:val="22"/>
        </w:rPr>
        <w:t>Wilfred Owen:  “Dulce et Decorum Est,” “Strange Meeting,” “Mental Cases,” “Disabled”</w:t>
      </w:r>
    </w:p>
    <w:p w:rsidR="00C42B87" w:rsidRPr="00C42B87" w:rsidRDefault="00C42B87" w:rsidP="00C42B87">
      <w:pPr>
        <w:ind w:left="720" w:hanging="720"/>
        <w:rPr>
          <w:sz w:val="22"/>
          <w:szCs w:val="22"/>
        </w:rPr>
      </w:pPr>
      <w:r w:rsidRPr="00C42B87">
        <w:rPr>
          <w:sz w:val="22"/>
          <w:szCs w:val="22"/>
        </w:rPr>
        <w:t>W. H. Auden:  “Lullaby,” “Spain,” “</w:t>
      </w:r>
      <w:proofErr w:type="spellStart"/>
      <w:r w:rsidRPr="00C42B87">
        <w:rPr>
          <w:sz w:val="22"/>
          <w:szCs w:val="22"/>
        </w:rPr>
        <w:t>Musee</w:t>
      </w:r>
      <w:proofErr w:type="spellEnd"/>
      <w:r w:rsidRPr="00C42B87">
        <w:rPr>
          <w:sz w:val="22"/>
          <w:szCs w:val="22"/>
        </w:rPr>
        <w:t xml:space="preserve"> des Beaux Arts,” “In Memory of W. B. Yeats,” “In Praise of Limestone,” “The Shield of Achilles”</w:t>
      </w:r>
    </w:p>
    <w:p w:rsidR="00C42B87" w:rsidRPr="00C42B87" w:rsidRDefault="00C42B87" w:rsidP="00C42B87">
      <w:pPr>
        <w:rPr>
          <w:sz w:val="22"/>
          <w:szCs w:val="22"/>
        </w:rPr>
      </w:pPr>
      <w:r w:rsidRPr="00C42B87">
        <w:rPr>
          <w:sz w:val="22"/>
          <w:szCs w:val="22"/>
        </w:rPr>
        <w:t>Philip Larkin: “Church Going,” “High Windows,” “This Be the Verse,” “</w:t>
      </w:r>
      <w:proofErr w:type="spellStart"/>
      <w:r w:rsidRPr="00C42B87">
        <w:rPr>
          <w:sz w:val="22"/>
          <w:szCs w:val="22"/>
        </w:rPr>
        <w:t>Aubade</w:t>
      </w:r>
      <w:proofErr w:type="spellEnd"/>
      <w:r w:rsidRPr="00C42B87">
        <w:rPr>
          <w:sz w:val="22"/>
          <w:szCs w:val="22"/>
        </w:rPr>
        <w:t xml:space="preserve">” </w:t>
      </w:r>
    </w:p>
    <w:p w:rsidR="00996D89" w:rsidRDefault="00996D89" w:rsidP="00C42B87">
      <w:pPr>
        <w:rPr>
          <w:sz w:val="22"/>
          <w:szCs w:val="22"/>
        </w:rPr>
      </w:pPr>
    </w:p>
    <w:p w:rsidR="00C42B87" w:rsidRPr="00C42B87" w:rsidRDefault="00C42B87" w:rsidP="00C42B87">
      <w:pPr>
        <w:rPr>
          <w:sz w:val="22"/>
          <w:szCs w:val="22"/>
        </w:rPr>
      </w:pPr>
      <w:r w:rsidRPr="00C42B87">
        <w:rPr>
          <w:sz w:val="22"/>
          <w:szCs w:val="22"/>
        </w:rPr>
        <w:t>James Joyce:  “</w:t>
      </w:r>
      <w:proofErr w:type="spellStart"/>
      <w:r w:rsidRPr="00C42B87">
        <w:rPr>
          <w:sz w:val="22"/>
          <w:szCs w:val="22"/>
        </w:rPr>
        <w:t>Araby</w:t>
      </w:r>
      <w:proofErr w:type="spellEnd"/>
      <w:r w:rsidRPr="00C42B87">
        <w:rPr>
          <w:sz w:val="22"/>
          <w:szCs w:val="22"/>
        </w:rPr>
        <w:t xml:space="preserve">,” “The Dead,” </w:t>
      </w:r>
      <w:r w:rsidRPr="00C42B87">
        <w:rPr>
          <w:i/>
          <w:sz w:val="22"/>
          <w:szCs w:val="22"/>
        </w:rPr>
        <w:t>A Portrait of the Artist as a Young Man</w:t>
      </w:r>
    </w:p>
    <w:p w:rsidR="00C42B87" w:rsidRPr="00C42B87" w:rsidRDefault="00C42B87" w:rsidP="00C42B87">
      <w:pPr>
        <w:rPr>
          <w:sz w:val="22"/>
          <w:szCs w:val="22"/>
        </w:rPr>
      </w:pPr>
      <w:r w:rsidRPr="00C42B87">
        <w:rPr>
          <w:sz w:val="22"/>
          <w:szCs w:val="22"/>
        </w:rPr>
        <w:t>Virginia Woolf:</w:t>
      </w:r>
      <w:r w:rsidRPr="00C42B87">
        <w:rPr>
          <w:i/>
          <w:sz w:val="22"/>
          <w:szCs w:val="22"/>
        </w:rPr>
        <w:t xml:space="preserve">  Mrs. Dalloway</w:t>
      </w:r>
    </w:p>
    <w:p w:rsidR="00C42B87" w:rsidRDefault="00C42B87" w:rsidP="00C42B87"/>
    <w:p w:rsidR="00665498" w:rsidRDefault="00665498" w:rsidP="00C42B87">
      <w:pPr>
        <w:rPr>
          <w:b/>
        </w:rPr>
      </w:pPr>
    </w:p>
    <w:p w:rsidR="00103E3C" w:rsidRPr="00103E3C" w:rsidRDefault="00103E3C" w:rsidP="00103E3C">
      <w:pPr>
        <w:pStyle w:val="MediumGrid21"/>
        <w:jc w:val="center"/>
        <w:rPr>
          <w:b/>
          <w:i/>
          <w:sz w:val="22"/>
        </w:rPr>
      </w:pPr>
      <w:r w:rsidRPr="00103E3C">
        <w:rPr>
          <w:b/>
          <w:i/>
          <w:sz w:val="22"/>
        </w:rPr>
        <w:t>American Literature Prior to 1860</w:t>
      </w:r>
    </w:p>
    <w:p w:rsidR="00103E3C" w:rsidRPr="00103E3C" w:rsidRDefault="00103E3C" w:rsidP="00103E3C">
      <w:pPr>
        <w:pStyle w:val="MediumGrid21"/>
        <w:rPr>
          <w:sz w:val="22"/>
        </w:rPr>
      </w:pPr>
    </w:p>
    <w:p w:rsidR="00103E3C" w:rsidRPr="00103E3C" w:rsidRDefault="00103E3C" w:rsidP="00103E3C">
      <w:pPr>
        <w:pStyle w:val="MediumGrid21"/>
        <w:rPr>
          <w:sz w:val="22"/>
        </w:rPr>
      </w:pPr>
      <w:r w:rsidRPr="00103E3C">
        <w:rPr>
          <w:sz w:val="22"/>
        </w:rPr>
        <w:t>John Winthrop: “A Model of Christian Charity”</w:t>
      </w:r>
    </w:p>
    <w:p w:rsidR="00103E3C" w:rsidRPr="00D4609E" w:rsidRDefault="00103E3C" w:rsidP="00103E3C">
      <w:pPr>
        <w:pStyle w:val="MediumGrid21"/>
        <w:rPr>
          <w:sz w:val="22"/>
        </w:rPr>
      </w:pPr>
      <w:r w:rsidRPr="00103E3C">
        <w:rPr>
          <w:sz w:val="22"/>
        </w:rPr>
        <w:t xml:space="preserve">Anne Bradstreet: “To My Dear and Loving Husband,” “Before the Birth of One of Her Children,” </w:t>
      </w:r>
      <w:r>
        <w:rPr>
          <w:sz w:val="22"/>
        </w:rPr>
        <w:tab/>
      </w:r>
      <w:r w:rsidRPr="00103E3C">
        <w:rPr>
          <w:sz w:val="22"/>
        </w:rPr>
        <w:t xml:space="preserve">“In Memory of </w:t>
      </w:r>
      <w:r w:rsidRPr="00103E3C">
        <w:rPr>
          <w:sz w:val="22"/>
        </w:rPr>
        <w:tab/>
        <w:t xml:space="preserve">My Dear Grandchild Elizabeth Bradstreet,” “In Memory of My Dear </w:t>
      </w:r>
      <w:r w:rsidRPr="00103E3C">
        <w:rPr>
          <w:sz w:val="22"/>
        </w:rPr>
        <w:tab/>
        <w:t>Grandchild Anne Bradstreet,” “On My Dear Grandchild Simon Bradstreet</w:t>
      </w:r>
      <w:r w:rsidRPr="00D4609E">
        <w:rPr>
          <w:b/>
          <w:sz w:val="22"/>
        </w:rPr>
        <w:t xml:space="preserve">,” </w:t>
      </w:r>
      <w:r w:rsidRPr="00D4609E">
        <w:rPr>
          <w:sz w:val="22"/>
        </w:rPr>
        <w:t xml:space="preserve">“Prologue,” </w:t>
      </w:r>
      <w:r w:rsidRPr="00D4609E">
        <w:rPr>
          <w:sz w:val="22"/>
        </w:rPr>
        <w:tab/>
        <w:t>“The Author to Her Book,” “Contemplations”</w:t>
      </w:r>
    </w:p>
    <w:p w:rsidR="00103E3C" w:rsidRPr="00103E3C" w:rsidRDefault="00103E3C" w:rsidP="00103E3C">
      <w:pPr>
        <w:pStyle w:val="MediumGrid21"/>
        <w:rPr>
          <w:sz w:val="22"/>
        </w:rPr>
      </w:pPr>
      <w:r w:rsidRPr="00103E3C">
        <w:rPr>
          <w:sz w:val="22"/>
        </w:rPr>
        <w:t xml:space="preserve">Washington Irving: </w:t>
      </w:r>
      <w:r w:rsidR="00D4609E">
        <w:rPr>
          <w:sz w:val="22"/>
        </w:rPr>
        <w:t>“</w:t>
      </w:r>
      <w:r w:rsidRPr="00103E3C">
        <w:rPr>
          <w:sz w:val="22"/>
        </w:rPr>
        <w:t>Rip Van Winkle,” “The Legend of Sleepy Hollow”</w:t>
      </w:r>
    </w:p>
    <w:p w:rsidR="00A60356" w:rsidRDefault="00103E3C" w:rsidP="00103E3C">
      <w:pPr>
        <w:pStyle w:val="MediumGrid21"/>
        <w:rPr>
          <w:iCs/>
          <w:sz w:val="22"/>
        </w:rPr>
      </w:pPr>
      <w:r w:rsidRPr="00103E3C">
        <w:rPr>
          <w:sz w:val="22"/>
        </w:rPr>
        <w:t xml:space="preserve">Nathaniel Hawthorne: </w:t>
      </w:r>
      <w:r w:rsidRPr="00103E3C">
        <w:rPr>
          <w:iCs/>
          <w:sz w:val="22"/>
        </w:rPr>
        <w:t xml:space="preserve">“Young Goodman Brown,” “My Kinsman, Major Molineux,” </w:t>
      </w:r>
    </w:p>
    <w:p w:rsidR="00103E3C" w:rsidRPr="00103E3C" w:rsidRDefault="00A60356" w:rsidP="00103E3C">
      <w:pPr>
        <w:pStyle w:val="MediumGrid21"/>
        <w:rPr>
          <w:iCs/>
          <w:sz w:val="22"/>
        </w:rPr>
      </w:pPr>
      <w:r>
        <w:rPr>
          <w:iCs/>
          <w:sz w:val="22"/>
        </w:rPr>
        <w:tab/>
      </w:r>
      <w:r w:rsidR="00103E3C" w:rsidRPr="00103E3C">
        <w:rPr>
          <w:iCs/>
          <w:sz w:val="22"/>
        </w:rPr>
        <w:t>“The Minister’s Black Veil”</w:t>
      </w:r>
    </w:p>
    <w:p w:rsidR="00103E3C" w:rsidRPr="00103E3C" w:rsidRDefault="00103E3C" w:rsidP="00103E3C">
      <w:pPr>
        <w:pStyle w:val="MediumGrid21"/>
        <w:rPr>
          <w:sz w:val="22"/>
        </w:rPr>
      </w:pPr>
      <w:r w:rsidRPr="00103E3C">
        <w:rPr>
          <w:sz w:val="22"/>
        </w:rPr>
        <w:t>Edgar Allan Poe: “The Black Cat,” “The Cask of Amontillado,” “The Fall of the House of</w:t>
      </w:r>
    </w:p>
    <w:p w:rsidR="00103E3C" w:rsidRPr="00103E3C" w:rsidRDefault="00A60356" w:rsidP="00103E3C">
      <w:pPr>
        <w:pStyle w:val="MediumGrid21"/>
        <w:rPr>
          <w:sz w:val="22"/>
        </w:rPr>
      </w:pPr>
      <w:r>
        <w:rPr>
          <w:sz w:val="22"/>
        </w:rPr>
        <w:t>            Usher</w:t>
      </w:r>
      <w:r w:rsidR="00103E3C" w:rsidRPr="00103E3C">
        <w:rPr>
          <w:sz w:val="22"/>
        </w:rPr>
        <w:t>”</w:t>
      </w:r>
      <w:r>
        <w:rPr>
          <w:sz w:val="22"/>
        </w:rPr>
        <w:t>;</w:t>
      </w:r>
      <w:r w:rsidR="00103E3C" w:rsidRPr="00103E3C">
        <w:rPr>
          <w:sz w:val="22"/>
        </w:rPr>
        <w:t xml:space="preserve"> “To Helen,” “The Raven,” “</w:t>
      </w:r>
      <w:proofErr w:type="spellStart"/>
      <w:r w:rsidR="00103E3C" w:rsidRPr="00103E3C">
        <w:rPr>
          <w:sz w:val="22"/>
        </w:rPr>
        <w:t>Israfel</w:t>
      </w:r>
      <w:proofErr w:type="spellEnd"/>
      <w:r w:rsidR="00103E3C" w:rsidRPr="00103E3C">
        <w:rPr>
          <w:sz w:val="22"/>
        </w:rPr>
        <w:t>”</w:t>
      </w:r>
      <w:r>
        <w:rPr>
          <w:sz w:val="22"/>
        </w:rPr>
        <w:t xml:space="preserve">; </w:t>
      </w:r>
      <w:r w:rsidRPr="00103E3C">
        <w:rPr>
          <w:sz w:val="22"/>
        </w:rPr>
        <w:t>“The Philosophy of C</w:t>
      </w:r>
      <w:r>
        <w:rPr>
          <w:sz w:val="22"/>
        </w:rPr>
        <w:t>omposition</w:t>
      </w:r>
      <w:r w:rsidRPr="00103E3C">
        <w:rPr>
          <w:sz w:val="22"/>
        </w:rPr>
        <w:t>”</w:t>
      </w:r>
    </w:p>
    <w:p w:rsidR="00103E3C" w:rsidRPr="00103E3C" w:rsidRDefault="00103E3C" w:rsidP="00103E3C">
      <w:pPr>
        <w:pStyle w:val="MediumGrid21"/>
        <w:rPr>
          <w:sz w:val="22"/>
        </w:rPr>
      </w:pPr>
      <w:r w:rsidRPr="00103E3C">
        <w:rPr>
          <w:iCs/>
          <w:sz w:val="22"/>
        </w:rPr>
        <w:t xml:space="preserve">Harriet Beecher Stowe: </w:t>
      </w:r>
      <w:r w:rsidRPr="00103E3C">
        <w:rPr>
          <w:i/>
          <w:iCs/>
          <w:sz w:val="22"/>
        </w:rPr>
        <w:t>Uncle Tom’s Cabin</w:t>
      </w:r>
    </w:p>
    <w:p w:rsidR="00103E3C" w:rsidRPr="00103E3C" w:rsidRDefault="00103E3C" w:rsidP="00103E3C">
      <w:pPr>
        <w:pStyle w:val="MediumGrid21"/>
        <w:rPr>
          <w:sz w:val="22"/>
        </w:rPr>
      </w:pPr>
      <w:r w:rsidRPr="00103E3C">
        <w:rPr>
          <w:sz w:val="22"/>
        </w:rPr>
        <w:t xml:space="preserve">Walt Whitman: </w:t>
      </w:r>
      <w:r w:rsidRPr="00103E3C">
        <w:rPr>
          <w:i/>
          <w:iCs/>
          <w:sz w:val="22"/>
        </w:rPr>
        <w:t>Song of Myself</w:t>
      </w:r>
      <w:r w:rsidRPr="00103E3C">
        <w:rPr>
          <w:sz w:val="22"/>
        </w:rPr>
        <w:t xml:space="preserve">, “When Lilacs Last in the Dooryard </w:t>
      </w:r>
      <w:proofErr w:type="spellStart"/>
      <w:r w:rsidRPr="00103E3C">
        <w:rPr>
          <w:sz w:val="22"/>
        </w:rPr>
        <w:t>Bloom’d</w:t>
      </w:r>
      <w:proofErr w:type="spellEnd"/>
      <w:r w:rsidRPr="00103E3C">
        <w:rPr>
          <w:sz w:val="22"/>
        </w:rPr>
        <w:t xml:space="preserve">,” “Out of the Cradle </w:t>
      </w:r>
      <w:r w:rsidR="00A60356">
        <w:rPr>
          <w:sz w:val="22"/>
        </w:rPr>
        <w:tab/>
      </w:r>
      <w:r w:rsidRPr="00103E3C">
        <w:rPr>
          <w:sz w:val="22"/>
        </w:rPr>
        <w:t>Endlessly Rocking,” “Crossing Brooklyn Ferry,” “The Wound Dresser”</w:t>
      </w:r>
    </w:p>
    <w:p w:rsidR="003357B6" w:rsidRDefault="003357B6" w:rsidP="00DA7E85">
      <w:pPr>
        <w:pStyle w:val="MediumGrid21"/>
        <w:rPr>
          <w:b/>
          <w:i/>
          <w:sz w:val="22"/>
        </w:rPr>
      </w:pPr>
    </w:p>
    <w:p w:rsidR="006A2063" w:rsidRDefault="0052710D" w:rsidP="006A2063">
      <w:pPr>
        <w:pStyle w:val="MediumGrid21"/>
        <w:jc w:val="center"/>
        <w:rPr>
          <w:b/>
          <w:i/>
          <w:sz w:val="22"/>
        </w:rPr>
      </w:pPr>
      <w:r>
        <w:rPr>
          <w:b/>
          <w:i/>
          <w:sz w:val="22"/>
        </w:rPr>
        <w:lastRenderedPageBreak/>
        <w:t xml:space="preserve">American Literature </w:t>
      </w:r>
      <w:r w:rsidR="006A2063" w:rsidRPr="006A2063">
        <w:rPr>
          <w:b/>
          <w:i/>
          <w:sz w:val="22"/>
        </w:rPr>
        <w:t>1860 to Present</w:t>
      </w:r>
    </w:p>
    <w:p w:rsidR="006A2063" w:rsidRPr="006A2063" w:rsidRDefault="006A2063" w:rsidP="006A2063">
      <w:pPr>
        <w:pStyle w:val="MediumGrid21"/>
        <w:jc w:val="center"/>
        <w:rPr>
          <w:b/>
          <w:i/>
          <w:sz w:val="22"/>
        </w:rPr>
      </w:pPr>
    </w:p>
    <w:p w:rsidR="006A2063" w:rsidRPr="006A2063" w:rsidRDefault="006A2063" w:rsidP="006A2063">
      <w:pPr>
        <w:pStyle w:val="MediumGrid21"/>
        <w:rPr>
          <w:sz w:val="22"/>
        </w:rPr>
      </w:pPr>
      <w:r w:rsidRPr="006A2063">
        <w:rPr>
          <w:color w:val="000000"/>
          <w:sz w:val="22"/>
        </w:rPr>
        <w:t xml:space="preserve">Booker T. Washington: </w:t>
      </w:r>
      <w:r w:rsidR="00132054">
        <w:rPr>
          <w:i/>
          <w:color w:val="000000"/>
          <w:sz w:val="22"/>
        </w:rPr>
        <w:t>Up f</w:t>
      </w:r>
      <w:r w:rsidRPr="006A2063">
        <w:rPr>
          <w:i/>
          <w:color w:val="000000"/>
          <w:sz w:val="22"/>
        </w:rPr>
        <w:t>rom Slavery</w:t>
      </w:r>
      <w:r w:rsidR="00132054">
        <w:rPr>
          <w:color w:val="000000"/>
          <w:sz w:val="22"/>
        </w:rPr>
        <w:t>, Chapters I and XIV: “A Slave a</w:t>
      </w:r>
      <w:r w:rsidRPr="006A2063">
        <w:rPr>
          <w:color w:val="000000"/>
          <w:sz w:val="22"/>
        </w:rPr>
        <w:t>mong Slave</w:t>
      </w:r>
      <w:r w:rsidR="008D28A5">
        <w:rPr>
          <w:color w:val="000000"/>
          <w:sz w:val="22"/>
        </w:rPr>
        <w:t xml:space="preserve">s” and </w:t>
      </w:r>
      <w:r w:rsidR="00113010">
        <w:rPr>
          <w:color w:val="000000"/>
          <w:sz w:val="22"/>
        </w:rPr>
        <w:tab/>
      </w:r>
      <w:r w:rsidR="008D28A5">
        <w:rPr>
          <w:color w:val="000000"/>
          <w:sz w:val="22"/>
        </w:rPr>
        <w:t xml:space="preserve">“The Atlanta Exposition </w:t>
      </w:r>
      <w:r w:rsidRPr="006A2063">
        <w:rPr>
          <w:color w:val="000000"/>
          <w:sz w:val="22"/>
        </w:rPr>
        <w:t>Address”</w:t>
      </w:r>
    </w:p>
    <w:p w:rsidR="006A2063" w:rsidRPr="006A2063" w:rsidRDefault="006A2063" w:rsidP="006A2063">
      <w:pPr>
        <w:pStyle w:val="MediumGrid21"/>
        <w:rPr>
          <w:color w:val="000000"/>
          <w:sz w:val="22"/>
        </w:rPr>
      </w:pPr>
      <w:r w:rsidRPr="006A2063">
        <w:rPr>
          <w:color w:val="000000"/>
          <w:sz w:val="22"/>
        </w:rPr>
        <w:t xml:space="preserve">Kate Chopin: </w:t>
      </w:r>
      <w:r w:rsidRPr="006A2063">
        <w:rPr>
          <w:i/>
          <w:color w:val="000000"/>
          <w:sz w:val="22"/>
        </w:rPr>
        <w:t>The Awakening</w:t>
      </w:r>
      <w:r w:rsidR="008D28A5">
        <w:rPr>
          <w:color w:val="000000"/>
          <w:sz w:val="22"/>
        </w:rPr>
        <w:t xml:space="preserve"> </w:t>
      </w:r>
    </w:p>
    <w:p w:rsidR="006A2063" w:rsidRPr="006A2063" w:rsidRDefault="006A2063" w:rsidP="006A2063">
      <w:pPr>
        <w:pStyle w:val="MediumGrid21"/>
        <w:rPr>
          <w:sz w:val="22"/>
        </w:rPr>
      </w:pPr>
      <w:r w:rsidRPr="006A2063">
        <w:rPr>
          <w:color w:val="000000"/>
          <w:sz w:val="22"/>
        </w:rPr>
        <w:t xml:space="preserve">T. S. Eliot: “The Love Song of J. Alfred </w:t>
      </w:r>
      <w:proofErr w:type="spellStart"/>
      <w:r w:rsidRPr="006A2063">
        <w:rPr>
          <w:color w:val="000000"/>
          <w:sz w:val="22"/>
        </w:rPr>
        <w:t>Prufrock</w:t>
      </w:r>
      <w:proofErr w:type="spellEnd"/>
      <w:r w:rsidRPr="006A2063">
        <w:rPr>
          <w:color w:val="000000"/>
          <w:sz w:val="22"/>
        </w:rPr>
        <w:t xml:space="preserve">,” </w:t>
      </w:r>
      <w:r w:rsidR="00113010">
        <w:rPr>
          <w:i/>
          <w:color w:val="000000"/>
          <w:sz w:val="22"/>
        </w:rPr>
        <w:t>The Waste Land</w:t>
      </w:r>
      <w:proofErr w:type="gramStart"/>
      <w:r w:rsidR="00132054">
        <w:rPr>
          <w:color w:val="000000"/>
          <w:sz w:val="22"/>
        </w:rPr>
        <w:t>,</w:t>
      </w:r>
      <w:r w:rsidR="00113010">
        <w:rPr>
          <w:i/>
          <w:color w:val="000000"/>
          <w:sz w:val="22"/>
        </w:rPr>
        <w:t xml:space="preserve"> </w:t>
      </w:r>
      <w:r w:rsidRPr="006A2063">
        <w:rPr>
          <w:color w:val="000000"/>
          <w:sz w:val="22"/>
        </w:rPr>
        <w:t xml:space="preserve"> “</w:t>
      </w:r>
      <w:proofErr w:type="gramEnd"/>
      <w:r w:rsidRPr="006A2063">
        <w:rPr>
          <w:color w:val="000000"/>
          <w:sz w:val="22"/>
        </w:rPr>
        <w:t>Tradition and the</w:t>
      </w:r>
    </w:p>
    <w:p w:rsidR="006A2063" w:rsidRPr="006A2063" w:rsidRDefault="006A2063" w:rsidP="006A2063">
      <w:pPr>
        <w:pStyle w:val="MediumGrid21"/>
        <w:rPr>
          <w:sz w:val="22"/>
        </w:rPr>
      </w:pPr>
      <w:r w:rsidRPr="006A2063">
        <w:rPr>
          <w:color w:val="000000"/>
          <w:sz w:val="22"/>
        </w:rPr>
        <w:t>            Individual Talent”</w:t>
      </w:r>
    </w:p>
    <w:p w:rsidR="006A2063" w:rsidRPr="006A2063" w:rsidRDefault="006A2063" w:rsidP="006A2063">
      <w:pPr>
        <w:pStyle w:val="MediumGrid21"/>
        <w:rPr>
          <w:sz w:val="22"/>
        </w:rPr>
      </w:pPr>
      <w:r w:rsidRPr="006A2063">
        <w:rPr>
          <w:color w:val="000000"/>
          <w:sz w:val="22"/>
        </w:rPr>
        <w:t xml:space="preserve">Ezra Pound: “In a Station of the Metro,” “To Whistler, American,” “A Pact,” “Portrait </w:t>
      </w:r>
      <w:proofErr w:type="spellStart"/>
      <w:r w:rsidRPr="006A2063">
        <w:rPr>
          <w:color w:val="000000"/>
          <w:sz w:val="22"/>
        </w:rPr>
        <w:t>d’une</w:t>
      </w:r>
      <w:proofErr w:type="spellEnd"/>
    </w:p>
    <w:p w:rsidR="006A2063" w:rsidRPr="006A2063" w:rsidRDefault="006A2063" w:rsidP="006A2063">
      <w:pPr>
        <w:pStyle w:val="MediumGrid21"/>
        <w:rPr>
          <w:sz w:val="22"/>
        </w:rPr>
      </w:pPr>
      <w:r w:rsidRPr="006A2063">
        <w:rPr>
          <w:color w:val="000000"/>
          <w:sz w:val="22"/>
        </w:rPr>
        <w:t xml:space="preserve">            Femme,” “The River-Merchant’s Wife,” </w:t>
      </w:r>
      <w:r w:rsidRPr="006A2063">
        <w:rPr>
          <w:i/>
          <w:color w:val="000000"/>
          <w:sz w:val="22"/>
        </w:rPr>
        <w:t xml:space="preserve">Hugh Selwyn </w:t>
      </w:r>
      <w:proofErr w:type="spellStart"/>
      <w:r w:rsidRPr="006A2063">
        <w:rPr>
          <w:i/>
          <w:color w:val="000000"/>
          <w:sz w:val="22"/>
        </w:rPr>
        <w:t>Mauberley</w:t>
      </w:r>
      <w:proofErr w:type="spellEnd"/>
    </w:p>
    <w:p w:rsidR="006A2063" w:rsidRPr="006A2063" w:rsidRDefault="006A2063" w:rsidP="006A2063">
      <w:pPr>
        <w:pStyle w:val="MediumGrid21"/>
        <w:rPr>
          <w:color w:val="000000"/>
          <w:sz w:val="22"/>
        </w:rPr>
      </w:pPr>
      <w:r w:rsidRPr="006A2063">
        <w:rPr>
          <w:color w:val="000000"/>
          <w:sz w:val="22"/>
        </w:rPr>
        <w:t xml:space="preserve">Langston Hughes: “Theme for English B,” “Epilogue (I, too, sing America),” “Harlem,” “The </w:t>
      </w:r>
      <w:r w:rsidR="008D28A5">
        <w:rPr>
          <w:color w:val="000000"/>
          <w:sz w:val="22"/>
        </w:rPr>
        <w:tab/>
      </w:r>
      <w:r w:rsidRPr="006A2063">
        <w:rPr>
          <w:color w:val="000000"/>
          <w:sz w:val="22"/>
        </w:rPr>
        <w:t xml:space="preserve">Negro Artist and the Racial Mountain,” “Madam and the Phone Bill,” “The Negro </w:t>
      </w:r>
      <w:r w:rsidR="008D28A5">
        <w:rPr>
          <w:color w:val="000000"/>
          <w:sz w:val="22"/>
        </w:rPr>
        <w:tab/>
      </w:r>
      <w:r w:rsidRPr="006A2063">
        <w:rPr>
          <w:color w:val="000000"/>
          <w:sz w:val="22"/>
        </w:rPr>
        <w:t>Speaks of Rivers”</w:t>
      </w:r>
    </w:p>
    <w:p w:rsidR="006A2063" w:rsidRPr="006A2063" w:rsidRDefault="006A2063" w:rsidP="006A2063">
      <w:pPr>
        <w:pStyle w:val="MediumGrid21"/>
        <w:rPr>
          <w:sz w:val="22"/>
        </w:rPr>
      </w:pPr>
      <w:r w:rsidRPr="006A2063">
        <w:rPr>
          <w:color w:val="000000"/>
          <w:sz w:val="22"/>
        </w:rPr>
        <w:t xml:space="preserve">William Faulkner: </w:t>
      </w:r>
      <w:r w:rsidRPr="006A2063">
        <w:rPr>
          <w:i/>
          <w:color w:val="000000"/>
          <w:sz w:val="22"/>
        </w:rPr>
        <w:t>The Sound and the Fury</w:t>
      </w:r>
    </w:p>
    <w:p w:rsidR="006A2063" w:rsidRPr="006A2063" w:rsidRDefault="006A2063" w:rsidP="006A2063">
      <w:pPr>
        <w:pStyle w:val="MediumGrid21"/>
        <w:rPr>
          <w:sz w:val="22"/>
        </w:rPr>
      </w:pPr>
      <w:r w:rsidRPr="006A2063">
        <w:rPr>
          <w:color w:val="000000"/>
          <w:sz w:val="22"/>
        </w:rPr>
        <w:t xml:space="preserve">Zora Neale Hurston: </w:t>
      </w:r>
      <w:r w:rsidRPr="006A2063">
        <w:rPr>
          <w:i/>
          <w:color w:val="000000"/>
          <w:sz w:val="22"/>
        </w:rPr>
        <w:t>Their Eyes Were Watching God</w:t>
      </w:r>
    </w:p>
    <w:p w:rsidR="006A2063" w:rsidRPr="006A2063" w:rsidRDefault="006A2063" w:rsidP="006A2063">
      <w:pPr>
        <w:pStyle w:val="MediumGrid21"/>
        <w:rPr>
          <w:sz w:val="22"/>
        </w:rPr>
      </w:pPr>
      <w:r w:rsidRPr="006A2063">
        <w:rPr>
          <w:color w:val="000000"/>
          <w:sz w:val="22"/>
        </w:rPr>
        <w:t xml:space="preserve">Ralph Ellison: </w:t>
      </w:r>
      <w:r w:rsidRPr="006A2063">
        <w:rPr>
          <w:i/>
          <w:color w:val="000000"/>
          <w:sz w:val="22"/>
        </w:rPr>
        <w:t>Invisible Man</w:t>
      </w:r>
    </w:p>
    <w:p w:rsidR="005072BC" w:rsidRPr="005072BC" w:rsidRDefault="005072BC" w:rsidP="005072BC">
      <w:pPr>
        <w:rPr>
          <w:sz w:val="22"/>
          <w:szCs w:val="22"/>
        </w:rPr>
      </w:pPr>
      <w:r w:rsidRPr="006A2063">
        <w:rPr>
          <w:sz w:val="22"/>
          <w:szCs w:val="22"/>
        </w:rPr>
        <w:t xml:space="preserve">Edward Albee: </w:t>
      </w:r>
      <w:r w:rsidRPr="006A2063">
        <w:rPr>
          <w:i/>
          <w:sz w:val="22"/>
          <w:szCs w:val="22"/>
        </w:rPr>
        <w:t xml:space="preserve">Who’s Afraid of Virginia </w:t>
      </w:r>
      <w:proofErr w:type="gramStart"/>
      <w:r w:rsidRPr="006A2063">
        <w:rPr>
          <w:i/>
          <w:sz w:val="22"/>
          <w:szCs w:val="22"/>
        </w:rPr>
        <w:t>Woolf ?</w:t>
      </w:r>
      <w:proofErr w:type="gramEnd"/>
    </w:p>
    <w:p w:rsidR="006A2063" w:rsidRPr="006A2063" w:rsidRDefault="006A2063" w:rsidP="006A2063">
      <w:pPr>
        <w:pStyle w:val="MediumGrid21"/>
        <w:rPr>
          <w:sz w:val="22"/>
        </w:rPr>
      </w:pPr>
      <w:r w:rsidRPr="006A2063">
        <w:rPr>
          <w:color w:val="000000"/>
          <w:sz w:val="22"/>
        </w:rPr>
        <w:t>Elizabeth Bishop: “The Fish,” “Questions of Travel,” “The Armadillo,” “In the Waiting Room,”</w:t>
      </w:r>
    </w:p>
    <w:p w:rsidR="006A2063" w:rsidRPr="006A2063" w:rsidRDefault="006A2063" w:rsidP="006A2063">
      <w:pPr>
        <w:pStyle w:val="MediumGrid21"/>
        <w:rPr>
          <w:sz w:val="22"/>
        </w:rPr>
      </w:pPr>
      <w:r w:rsidRPr="006A2063">
        <w:rPr>
          <w:color w:val="000000"/>
          <w:sz w:val="22"/>
        </w:rPr>
        <w:t>            “Crusoe in England”</w:t>
      </w:r>
    </w:p>
    <w:p w:rsidR="006A2063" w:rsidRPr="006A2063" w:rsidRDefault="006A2063" w:rsidP="005072BC">
      <w:pPr>
        <w:pStyle w:val="MediumGrid21"/>
        <w:rPr>
          <w:iCs/>
          <w:color w:val="000000"/>
          <w:sz w:val="22"/>
        </w:rPr>
      </w:pPr>
      <w:r w:rsidRPr="006A2063">
        <w:rPr>
          <w:color w:val="000000"/>
          <w:sz w:val="22"/>
        </w:rPr>
        <w:t xml:space="preserve">Gwendolyn Brooks: </w:t>
      </w:r>
      <w:r w:rsidRPr="006A2063">
        <w:rPr>
          <w:iCs/>
          <w:color w:val="000000"/>
          <w:sz w:val="22"/>
        </w:rPr>
        <w:t xml:space="preserve">“The Lovers of the Poor,” “The Chicago </w:t>
      </w:r>
      <w:r w:rsidRPr="006A2063">
        <w:rPr>
          <w:i/>
          <w:iCs/>
          <w:color w:val="000000"/>
          <w:sz w:val="22"/>
        </w:rPr>
        <w:t>Defender</w:t>
      </w:r>
      <w:r w:rsidRPr="006A2063">
        <w:rPr>
          <w:iCs/>
          <w:color w:val="000000"/>
          <w:sz w:val="22"/>
        </w:rPr>
        <w:t xml:space="preserve"> Sends a Man to Little </w:t>
      </w:r>
      <w:r w:rsidR="008D28A5">
        <w:rPr>
          <w:iCs/>
          <w:color w:val="000000"/>
          <w:sz w:val="22"/>
        </w:rPr>
        <w:tab/>
      </w:r>
      <w:r w:rsidRPr="006A2063">
        <w:rPr>
          <w:iCs/>
          <w:color w:val="000000"/>
          <w:sz w:val="22"/>
        </w:rPr>
        <w:t>Rock,” “kitchenette</w:t>
      </w:r>
      <w:r w:rsidR="005072BC">
        <w:rPr>
          <w:iCs/>
          <w:color w:val="000000"/>
          <w:sz w:val="22"/>
        </w:rPr>
        <w:t xml:space="preserve"> building,” “Riot”</w:t>
      </w:r>
    </w:p>
    <w:p w:rsidR="006A2063" w:rsidRPr="006A2063" w:rsidRDefault="005072BC" w:rsidP="006A2063">
      <w:pPr>
        <w:pStyle w:val="MediumGrid21"/>
        <w:rPr>
          <w:color w:val="000000"/>
          <w:sz w:val="22"/>
        </w:rPr>
      </w:pPr>
      <w:r>
        <w:rPr>
          <w:color w:val="000000"/>
          <w:sz w:val="22"/>
        </w:rPr>
        <w:t>Maxine Hong Kingston:</w:t>
      </w:r>
      <w:r w:rsidR="006A2063" w:rsidRPr="006A2063">
        <w:rPr>
          <w:color w:val="000000"/>
          <w:sz w:val="22"/>
        </w:rPr>
        <w:t xml:space="preserve"> </w:t>
      </w:r>
      <w:r w:rsidR="006A2063" w:rsidRPr="006A2063">
        <w:rPr>
          <w:i/>
          <w:color w:val="000000"/>
          <w:sz w:val="22"/>
        </w:rPr>
        <w:t>Woman Warrior</w:t>
      </w:r>
    </w:p>
    <w:sectPr w:rsidR="006A2063" w:rsidRPr="006A2063" w:rsidSect="0061400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40099"/>
    <w:multiLevelType w:val="hybridMultilevel"/>
    <w:tmpl w:val="2A46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74616A"/>
    <w:multiLevelType w:val="hybridMultilevel"/>
    <w:tmpl w:val="3F0A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558"/>
    <w:rsid w:val="000A5D93"/>
    <w:rsid w:val="000D1F28"/>
    <w:rsid w:val="00103E3C"/>
    <w:rsid w:val="00113010"/>
    <w:rsid w:val="00132054"/>
    <w:rsid w:val="00186B3F"/>
    <w:rsid w:val="001A66D1"/>
    <w:rsid w:val="001B4DAD"/>
    <w:rsid w:val="001D2666"/>
    <w:rsid w:val="00245CBF"/>
    <w:rsid w:val="0026049C"/>
    <w:rsid w:val="002B44F8"/>
    <w:rsid w:val="003357B6"/>
    <w:rsid w:val="003832DB"/>
    <w:rsid w:val="00384A3B"/>
    <w:rsid w:val="00443346"/>
    <w:rsid w:val="00492F60"/>
    <w:rsid w:val="004C260D"/>
    <w:rsid w:val="004E16A7"/>
    <w:rsid w:val="005072BC"/>
    <w:rsid w:val="0052710D"/>
    <w:rsid w:val="00562BEC"/>
    <w:rsid w:val="005B736D"/>
    <w:rsid w:val="00614004"/>
    <w:rsid w:val="006242BA"/>
    <w:rsid w:val="00644787"/>
    <w:rsid w:val="00665498"/>
    <w:rsid w:val="006674D1"/>
    <w:rsid w:val="00680E51"/>
    <w:rsid w:val="006A2063"/>
    <w:rsid w:val="006C24D5"/>
    <w:rsid w:val="00741CDC"/>
    <w:rsid w:val="007F1B7A"/>
    <w:rsid w:val="008371E9"/>
    <w:rsid w:val="008555EB"/>
    <w:rsid w:val="00865999"/>
    <w:rsid w:val="008D28A5"/>
    <w:rsid w:val="008D56DD"/>
    <w:rsid w:val="00916925"/>
    <w:rsid w:val="00996D89"/>
    <w:rsid w:val="009E1558"/>
    <w:rsid w:val="00A5488F"/>
    <w:rsid w:val="00A60356"/>
    <w:rsid w:val="00A91E59"/>
    <w:rsid w:val="00AA3744"/>
    <w:rsid w:val="00C42B87"/>
    <w:rsid w:val="00CB6AF9"/>
    <w:rsid w:val="00CC4D96"/>
    <w:rsid w:val="00CD5803"/>
    <w:rsid w:val="00D42B4B"/>
    <w:rsid w:val="00D4609E"/>
    <w:rsid w:val="00D6726C"/>
    <w:rsid w:val="00DA016A"/>
    <w:rsid w:val="00DA7E85"/>
    <w:rsid w:val="00E11B6B"/>
    <w:rsid w:val="00E336EB"/>
    <w:rsid w:val="00E52D3D"/>
    <w:rsid w:val="00F71B6C"/>
    <w:rsid w:val="00FD3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353F71-58DB-452A-AC6D-71ECAD83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004"/>
  </w:style>
  <w:style w:type="paragraph" w:styleId="Heading1">
    <w:name w:val="heading 1"/>
    <w:basedOn w:val="Normal"/>
    <w:next w:val="Normal"/>
    <w:link w:val="Heading1Char"/>
    <w:qFormat/>
    <w:rsid w:val="00C42B87"/>
    <w:pPr>
      <w:keepNext/>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8D56DD"/>
    <w:rPr>
      <w:rFonts w:cs="Times New Roman"/>
      <w:i/>
    </w:rPr>
  </w:style>
  <w:style w:type="paragraph" w:styleId="NormalWeb">
    <w:name w:val="Normal (Web)"/>
    <w:basedOn w:val="Normal"/>
    <w:uiPriority w:val="99"/>
    <w:unhideWhenUsed/>
    <w:rsid w:val="008D56DD"/>
    <w:pPr>
      <w:spacing w:before="100" w:beforeAutospacing="1" w:after="100" w:afterAutospacing="1"/>
    </w:pPr>
    <w:rPr>
      <w:sz w:val="24"/>
      <w:szCs w:val="24"/>
    </w:rPr>
  </w:style>
  <w:style w:type="table" w:styleId="TableGrid">
    <w:name w:val="Table Grid"/>
    <w:basedOn w:val="TableNormal"/>
    <w:uiPriority w:val="59"/>
    <w:rsid w:val="008D56D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42B87"/>
    <w:rPr>
      <w:b/>
      <w:bCs/>
      <w:sz w:val="24"/>
      <w:szCs w:val="24"/>
    </w:rPr>
  </w:style>
  <w:style w:type="paragraph" w:customStyle="1" w:styleId="MediumGrid21">
    <w:name w:val="Medium Grid 21"/>
    <w:uiPriority w:val="1"/>
    <w:qFormat/>
    <w:rsid w:val="00103E3C"/>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6D9AACFF-F3FD-44C4-B891-8EC0AB7E3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World Lit</vt:lpstr>
    </vt:vector>
  </TitlesOfParts>
  <Company>uca</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Lit</dc:title>
  <dc:subject/>
  <dc:creator>UCA</dc:creator>
  <cp:keywords/>
  <cp:lastModifiedBy>UCA</cp:lastModifiedBy>
  <cp:revision>2</cp:revision>
  <cp:lastPrinted>2012-11-06T20:35:00Z</cp:lastPrinted>
  <dcterms:created xsi:type="dcterms:W3CDTF">2015-05-08T14:29:00Z</dcterms:created>
  <dcterms:modified xsi:type="dcterms:W3CDTF">2015-05-08T14:29:00Z</dcterms:modified>
</cp:coreProperties>
</file>