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D3" w:rsidRDefault="00C839D3" w:rsidP="00C839D3">
      <w:pPr>
        <w:jc w:val="center"/>
        <w:rPr>
          <w:b/>
          <w:sz w:val="28"/>
          <w:szCs w:val="28"/>
        </w:rPr>
      </w:pPr>
      <w:r>
        <w:rPr>
          <w:b/>
          <w:sz w:val="28"/>
          <w:szCs w:val="28"/>
        </w:rPr>
        <w:t>MA</w:t>
      </w:r>
      <w:r w:rsidR="000B0DA2">
        <w:rPr>
          <w:b/>
          <w:sz w:val="28"/>
          <w:szCs w:val="28"/>
        </w:rPr>
        <w:t xml:space="preserve"> Comp-Exam</w:t>
      </w:r>
      <w:r>
        <w:rPr>
          <w:b/>
          <w:sz w:val="28"/>
          <w:szCs w:val="28"/>
        </w:rPr>
        <w:t xml:space="preserve"> Reading List: Fall Semester</w:t>
      </w:r>
      <w:r w:rsidR="00C365D3">
        <w:rPr>
          <w:b/>
          <w:sz w:val="28"/>
          <w:szCs w:val="28"/>
        </w:rPr>
        <w:t xml:space="preserve"> 2015</w:t>
      </w:r>
      <w:bookmarkStart w:id="0" w:name="_GoBack"/>
      <w:bookmarkEnd w:id="0"/>
    </w:p>
    <w:p w:rsidR="00C839D3" w:rsidRDefault="00C839D3" w:rsidP="00C839D3">
      <w:pPr>
        <w:jc w:val="center"/>
        <w:rPr>
          <w:b/>
          <w:sz w:val="28"/>
          <w:szCs w:val="28"/>
        </w:rPr>
      </w:pPr>
    </w:p>
    <w:p w:rsidR="00C839D3" w:rsidRPr="004E16A7" w:rsidRDefault="00C839D3" w:rsidP="00C839D3">
      <w:pPr>
        <w:jc w:val="center"/>
        <w:rPr>
          <w:b/>
          <w:i/>
          <w:iCs/>
          <w:sz w:val="22"/>
        </w:rPr>
      </w:pPr>
      <w:r w:rsidRPr="004E16A7">
        <w:rPr>
          <w:b/>
          <w:i/>
          <w:iCs/>
          <w:sz w:val="22"/>
        </w:rPr>
        <w:t xml:space="preserve">Medieval </w:t>
      </w:r>
    </w:p>
    <w:p w:rsidR="00C839D3" w:rsidRPr="00D1340A" w:rsidRDefault="00C839D3" w:rsidP="00C839D3">
      <w:pPr>
        <w:rPr>
          <w:b/>
          <w:iCs/>
          <w:sz w:val="22"/>
        </w:rPr>
      </w:pPr>
    </w:p>
    <w:p w:rsidR="00004D6C" w:rsidRDefault="00004D6C" w:rsidP="00004D6C">
      <w:pPr>
        <w:rPr>
          <w:iCs/>
          <w:sz w:val="22"/>
        </w:rPr>
      </w:pPr>
      <w:r>
        <w:rPr>
          <w:iCs/>
          <w:sz w:val="22"/>
        </w:rPr>
        <w:t>Old English Literature:</w:t>
      </w:r>
    </w:p>
    <w:p w:rsidR="00004D6C" w:rsidRDefault="00004D6C" w:rsidP="00004D6C">
      <w:pPr>
        <w:rPr>
          <w:iCs/>
          <w:sz w:val="22"/>
        </w:rPr>
      </w:pPr>
    </w:p>
    <w:p w:rsidR="00004D6C" w:rsidRDefault="00004D6C" w:rsidP="00004D6C">
      <w:pPr>
        <w:ind w:left="720" w:hanging="720"/>
        <w:rPr>
          <w:i/>
          <w:iCs/>
          <w:sz w:val="22"/>
        </w:rPr>
      </w:pPr>
      <w:r>
        <w:rPr>
          <w:i/>
          <w:iCs/>
          <w:sz w:val="22"/>
        </w:rPr>
        <w:t>Beowulf</w:t>
      </w:r>
    </w:p>
    <w:p w:rsidR="00004D6C" w:rsidRDefault="00004D6C" w:rsidP="00004D6C">
      <w:pPr>
        <w:ind w:left="720" w:hanging="720"/>
        <w:rPr>
          <w:iCs/>
          <w:sz w:val="22"/>
        </w:rPr>
      </w:pPr>
    </w:p>
    <w:p w:rsidR="00004D6C" w:rsidRDefault="00004D6C" w:rsidP="00004D6C">
      <w:pPr>
        <w:ind w:left="720" w:hanging="720"/>
        <w:rPr>
          <w:iCs/>
          <w:sz w:val="22"/>
        </w:rPr>
      </w:pPr>
      <w:r>
        <w:rPr>
          <w:iCs/>
          <w:sz w:val="22"/>
        </w:rPr>
        <w:t>Middle English Literature:</w:t>
      </w:r>
    </w:p>
    <w:p w:rsidR="00004D6C" w:rsidRDefault="00004D6C" w:rsidP="00004D6C">
      <w:pPr>
        <w:ind w:left="720" w:hanging="720"/>
        <w:rPr>
          <w:iCs/>
          <w:sz w:val="22"/>
        </w:rPr>
      </w:pPr>
    </w:p>
    <w:p w:rsidR="00004D6C" w:rsidRDefault="00004D6C" w:rsidP="00004D6C">
      <w:pPr>
        <w:ind w:left="720" w:hanging="720"/>
        <w:rPr>
          <w:i/>
          <w:iCs/>
          <w:sz w:val="22"/>
        </w:rPr>
      </w:pPr>
      <w:r>
        <w:rPr>
          <w:i/>
          <w:iCs/>
          <w:sz w:val="22"/>
        </w:rPr>
        <w:t>Sir Gawain and the Green Knight</w:t>
      </w:r>
    </w:p>
    <w:p w:rsidR="00004D6C" w:rsidRDefault="00004D6C" w:rsidP="00004D6C">
      <w:pPr>
        <w:rPr>
          <w:sz w:val="22"/>
        </w:rPr>
      </w:pPr>
      <w:r>
        <w:rPr>
          <w:sz w:val="22"/>
        </w:rPr>
        <w:t>Chaucer: “</w:t>
      </w:r>
      <w:r>
        <w:rPr>
          <w:iCs/>
          <w:sz w:val="22"/>
        </w:rPr>
        <w:t>General Prologue</w:t>
      </w:r>
      <w:r>
        <w:rPr>
          <w:sz w:val="22"/>
        </w:rPr>
        <w:t>,” “</w:t>
      </w:r>
      <w:r>
        <w:rPr>
          <w:iCs/>
          <w:sz w:val="22"/>
        </w:rPr>
        <w:t>Words of the Host to the Physician and Pardoner</w:t>
      </w:r>
      <w:r>
        <w:rPr>
          <w:sz w:val="22"/>
        </w:rPr>
        <w:t xml:space="preserve">,” </w:t>
      </w:r>
    </w:p>
    <w:p w:rsidR="00004D6C" w:rsidRDefault="00004D6C" w:rsidP="00004D6C">
      <w:pPr>
        <w:ind w:firstLine="720"/>
        <w:rPr>
          <w:iCs/>
          <w:sz w:val="22"/>
        </w:rPr>
      </w:pPr>
      <w:r>
        <w:rPr>
          <w:sz w:val="22"/>
        </w:rPr>
        <w:t xml:space="preserve"> “The </w:t>
      </w:r>
      <w:r>
        <w:rPr>
          <w:iCs/>
          <w:sz w:val="22"/>
        </w:rPr>
        <w:t xml:space="preserve">Pardoner’s Prologue and Tale” </w:t>
      </w:r>
    </w:p>
    <w:p w:rsidR="00004D6C" w:rsidRDefault="00004D6C" w:rsidP="00004D6C">
      <w:pPr>
        <w:rPr>
          <w:i/>
          <w:iCs/>
          <w:sz w:val="22"/>
        </w:rPr>
      </w:pPr>
      <w:r>
        <w:rPr>
          <w:iCs/>
          <w:sz w:val="22"/>
        </w:rPr>
        <w:t xml:space="preserve">Malory: </w:t>
      </w:r>
      <w:proofErr w:type="spellStart"/>
      <w:r>
        <w:rPr>
          <w:i/>
          <w:iCs/>
          <w:sz w:val="22"/>
        </w:rPr>
        <w:t>Morte</w:t>
      </w:r>
      <w:proofErr w:type="spellEnd"/>
      <w:r>
        <w:rPr>
          <w:i/>
          <w:iCs/>
          <w:sz w:val="22"/>
        </w:rPr>
        <w:t xml:space="preserve"> </w:t>
      </w:r>
      <w:proofErr w:type="spellStart"/>
      <w:r>
        <w:rPr>
          <w:i/>
          <w:iCs/>
          <w:sz w:val="22"/>
        </w:rPr>
        <w:t>Darthur</w:t>
      </w:r>
      <w:proofErr w:type="spellEnd"/>
      <w:r>
        <w:rPr>
          <w:iCs/>
          <w:sz w:val="22"/>
        </w:rPr>
        <w:t>, Caxton Books XX, XXI</w:t>
      </w:r>
    </w:p>
    <w:p w:rsidR="00C839D3" w:rsidRDefault="00C839D3" w:rsidP="00C839D3">
      <w:pPr>
        <w:rPr>
          <w:sz w:val="22"/>
        </w:rPr>
      </w:pPr>
    </w:p>
    <w:p w:rsidR="00C839D3" w:rsidRDefault="00C839D3" w:rsidP="00C839D3">
      <w:pPr>
        <w:rPr>
          <w:sz w:val="22"/>
        </w:rPr>
      </w:pPr>
    </w:p>
    <w:p w:rsidR="00C839D3" w:rsidRPr="004E16A7" w:rsidRDefault="00C839D3" w:rsidP="00C839D3">
      <w:pPr>
        <w:jc w:val="center"/>
        <w:rPr>
          <w:b/>
          <w:i/>
          <w:sz w:val="22"/>
          <w:szCs w:val="22"/>
        </w:rPr>
      </w:pPr>
      <w:r w:rsidRPr="004E16A7">
        <w:rPr>
          <w:b/>
          <w:i/>
          <w:sz w:val="22"/>
          <w:szCs w:val="22"/>
        </w:rPr>
        <w:t>Renaissance and Seventeenth Century</w:t>
      </w:r>
    </w:p>
    <w:p w:rsidR="00C839D3" w:rsidRPr="008D56DD" w:rsidRDefault="00C839D3" w:rsidP="00C839D3">
      <w:pPr>
        <w:jc w:val="center"/>
        <w:rPr>
          <w:b/>
          <w:sz w:val="24"/>
          <w:szCs w:val="24"/>
        </w:rPr>
      </w:pPr>
    </w:p>
    <w:p w:rsidR="00C839D3" w:rsidRDefault="00C839D3" w:rsidP="00004D6C">
      <w:pPr>
        <w:rPr>
          <w:sz w:val="22"/>
          <w:szCs w:val="22"/>
        </w:rPr>
      </w:pPr>
    </w:p>
    <w:p w:rsidR="00004D6C" w:rsidRDefault="00004D6C" w:rsidP="00004D6C">
      <w:pPr>
        <w:ind w:left="720" w:hanging="720"/>
        <w:rPr>
          <w:sz w:val="22"/>
          <w:szCs w:val="22"/>
        </w:rPr>
      </w:pPr>
      <w:r w:rsidRPr="008D56DD">
        <w:rPr>
          <w:sz w:val="22"/>
          <w:szCs w:val="22"/>
        </w:rPr>
        <w:t>The Sonnet Tradition</w:t>
      </w:r>
    </w:p>
    <w:p w:rsidR="00004D6C" w:rsidRPr="00004D6C" w:rsidRDefault="00004D6C" w:rsidP="00004D6C">
      <w:pPr>
        <w:pStyle w:val="ListParagraph"/>
        <w:numPr>
          <w:ilvl w:val="0"/>
          <w:numId w:val="1"/>
        </w:numPr>
        <w:rPr>
          <w:sz w:val="22"/>
          <w:szCs w:val="22"/>
        </w:rPr>
      </w:pPr>
      <w:r>
        <w:rPr>
          <w:sz w:val="22"/>
          <w:szCs w:val="22"/>
        </w:rPr>
        <w:t xml:space="preserve">Spenser: </w:t>
      </w:r>
      <w:r w:rsidRPr="00FE7CEC">
        <w:rPr>
          <w:i/>
          <w:sz w:val="22"/>
          <w:szCs w:val="22"/>
        </w:rPr>
        <w:t>Amoretti,</w:t>
      </w:r>
      <w:r>
        <w:rPr>
          <w:sz w:val="22"/>
          <w:szCs w:val="22"/>
        </w:rPr>
        <w:t xml:space="preserve"> 1 (“Happy ye leaves when as those </w:t>
      </w:r>
      <w:proofErr w:type="spellStart"/>
      <w:r>
        <w:rPr>
          <w:sz w:val="22"/>
          <w:szCs w:val="22"/>
        </w:rPr>
        <w:t>lilly</w:t>
      </w:r>
      <w:proofErr w:type="spellEnd"/>
      <w:r>
        <w:rPr>
          <w:sz w:val="22"/>
          <w:szCs w:val="22"/>
        </w:rPr>
        <w:t xml:space="preserve"> hands”), 34 (“</w:t>
      </w:r>
      <w:proofErr w:type="spellStart"/>
      <w:r>
        <w:rPr>
          <w:sz w:val="22"/>
          <w:szCs w:val="22"/>
        </w:rPr>
        <w:t>Lyke</w:t>
      </w:r>
      <w:proofErr w:type="spellEnd"/>
      <w:r>
        <w:rPr>
          <w:sz w:val="22"/>
          <w:szCs w:val="22"/>
        </w:rPr>
        <w:t xml:space="preserve"> as a ship that through the Ocean </w:t>
      </w:r>
      <w:proofErr w:type="spellStart"/>
      <w:r>
        <w:rPr>
          <w:sz w:val="22"/>
          <w:szCs w:val="22"/>
        </w:rPr>
        <w:t>wyde</w:t>
      </w:r>
      <w:proofErr w:type="spellEnd"/>
      <w:r>
        <w:rPr>
          <w:sz w:val="22"/>
          <w:szCs w:val="22"/>
        </w:rPr>
        <w:t>”), 37 (“What guile is this, that those her golden tresses”), 67 (“</w:t>
      </w:r>
      <w:proofErr w:type="spellStart"/>
      <w:r>
        <w:rPr>
          <w:sz w:val="22"/>
          <w:szCs w:val="22"/>
        </w:rPr>
        <w:t>Lyke</w:t>
      </w:r>
      <w:proofErr w:type="spellEnd"/>
      <w:r>
        <w:rPr>
          <w:sz w:val="22"/>
          <w:szCs w:val="22"/>
        </w:rPr>
        <w:t xml:space="preserve"> as a huntsman after weary </w:t>
      </w:r>
      <w:proofErr w:type="spellStart"/>
      <w:r>
        <w:rPr>
          <w:sz w:val="22"/>
          <w:szCs w:val="22"/>
        </w:rPr>
        <w:t>chace</w:t>
      </w:r>
      <w:proofErr w:type="spellEnd"/>
      <w:r>
        <w:rPr>
          <w:sz w:val="22"/>
          <w:szCs w:val="22"/>
        </w:rPr>
        <w:t xml:space="preserve">”), 68 (“Most glorious Lord of </w:t>
      </w:r>
      <w:proofErr w:type="spellStart"/>
      <w:r>
        <w:rPr>
          <w:sz w:val="22"/>
          <w:szCs w:val="22"/>
        </w:rPr>
        <w:t>lyfe</w:t>
      </w:r>
      <w:proofErr w:type="spellEnd"/>
      <w:r>
        <w:rPr>
          <w:sz w:val="22"/>
          <w:szCs w:val="22"/>
        </w:rPr>
        <w:t xml:space="preserve">, that on this day”), 75 (“One day I wrote her name upon the strand”), 79 (“Men call you fayre, and you </w:t>
      </w:r>
      <w:proofErr w:type="spellStart"/>
      <w:r>
        <w:rPr>
          <w:sz w:val="22"/>
          <w:szCs w:val="22"/>
        </w:rPr>
        <w:t>doe</w:t>
      </w:r>
      <w:proofErr w:type="spellEnd"/>
      <w:r>
        <w:rPr>
          <w:sz w:val="22"/>
          <w:szCs w:val="22"/>
        </w:rPr>
        <w:t xml:space="preserve"> credit it”)</w:t>
      </w:r>
    </w:p>
    <w:p w:rsidR="00004D6C" w:rsidRDefault="00004D6C" w:rsidP="00004D6C">
      <w:pPr>
        <w:widowControl w:val="0"/>
        <w:numPr>
          <w:ilvl w:val="0"/>
          <w:numId w:val="1"/>
        </w:numPr>
        <w:autoSpaceDE w:val="0"/>
        <w:autoSpaceDN w:val="0"/>
        <w:adjustRightInd w:val="0"/>
        <w:rPr>
          <w:sz w:val="22"/>
          <w:szCs w:val="22"/>
        </w:rPr>
      </w:pPr>
      <w:r w:rsidRPr="008D56DD">
        <w:rPr>
          <w:sz w:val="22"/>
          <w:szCs w:val="22"/>
        </w:rPr>
        <w:t>Wil</w:t>
      </w:r>
      <w:r>
        <w:rPr>
          <w:sz w:val="22"/>
          <w:szCs w:val="22"/>
        </w:rPr>
        <w:t>liam Shakespeare:</w:t>
      </w:r>
      <w:r w:rsidRPr="008D56DD">
        <w:rPr>
          <w:sz w:val="22"/>
          <w:szCs w:val="22"/>
        </w:rPr>
        <w:t xml:space="preserve"> Sonnets 3 (“Look in thy glass and tell the face thou </w:t>
      </w:r>
      <w:proofErr w:type="spellStart"/>
      <w:r w:rsidRPr="008D56DD">
        <w:rPr>
          <w:sz w:val="22"/>
          <w:szCs w:val="22"/>
        </w:rPr>
        <w:t>viewest</w:t>
      </w:r>
      <w:proofErr w:type="spellEnd"/>
      <w:r w:rsidRPr="008D56DD">
        <w:rPr>
          <w:sz w:val="22"/>
          <w:szCs w:val="22"/>
        </w:rPr>
        <w:t xml:space="preserve">”), 18 (“Shall I compare thee to a summer’s day?”), 20 (“A woman’s face with nature’s own hand painted”), 29 (“When, in disgrace with Fortune and men’s eyes”), 30 (“When to the sessions of sweet silent thought”), 55 (“Not marble, nor the gilded monuments”), 60 (“Like as the waves make towards the pebbled shore”), 71 (“No longer mourn for me when I am dead”), 73 (“That time of year thou </w:t>
      </w:r>
      <w:proofErr w:type="spellStart"/>
      <w:r w:rsidRPr="008D56DD">
        <w:rPr>
          <w:sz w:val="22"/>
          <w:szCs w:val="22"/>
        </w:rPr>
        <w:t>mayst</w:t>
      </w:r>
      <w:proofErr w:type="spellEnd"/>
      <w:r w:rsidRPr="008D56DD">
        <w:rPr>
          <w:sz w:val="22"/>
          <w:szCs w:val="22"/>
        </w:rPr>
        <w:t xml:space="preserve"> in me behold”), 94 (“They that have power to hurt and will do none”), 116 (“Let me not to the marriage of true minds”), 129 (“</w:t>
      </w:r>
      <w:proofErr w:type="spellStart"/>
      <w:r w:rsidRPr="008D56DD">
        <w:rPr>
          <w:sz w:val="22"/>
          <w:szCs w:val="22"/>
        </w:rPr>
        <w:t>Th</w:t>
      </w:r>
      <w:proofErr w:type="spellEnd"/>
      <w:r w:rsidRPr="008D56DD">
        <w:rPr>
          <w:sz w:val="22"/>
          <w:szCs w:val="22"/>
        </w:rPr>
        <w:t>’ expense of spirit in a waste of shame”), 130 (“My mistress’ eyes are nothing like the sun”), 138 (“When my love swears that she is made of truth”), 144 (“Two loves I have of comfort and despair”), 146 (“Poor soul, the center of my sinful earth”)</w:t>
      </w:r>
    </w:p>
    <w:p w:rsidR="00004D6C" w:rsidRDefault="00FE7CEC" w:rsidP="00FE7CEC">
      <w:pPr>
        <w:pStyle w:val="ListParagraph"/>
        <w:numPr>
          <w:ilvl w:val="0"/>
          <w:numId w:val="1"/>
        </w:numPr>
        <w:rPr>
          <w:sz w:val="22"/>
          <w:szCs w:val="22"/>
        </w:rPr>
      </w:pPr>
      <w:r>
        <w:rPr>
          <w:sz w:val="22"/>
          <w:szCs w:val="22"/>
        </w:rPr>
        <w:t xml:space="preserve">Lady Mary Wroth: </w:t>
      </w:r>
      <w:proofErr w:type="spellStart"/>
      <w:r w:rsidRPr="00FE7CEC">
        <w:rPr>
          <w:i/>
          <w:sz w:val="22"/>
          <w:szCs w:val="22"/>
        </w:rPr>
        <w:t>Pamphilia</w:t>
      </w:r>
      <w:proofErr w:type="spellEnd"/>
      <w:r w:rsidRPr="00FE7CEC">
        <w:rPr>
          <w:i/>
          <w:sz w:val="22"/>
          <w:szCs w:val="22"/>
        </w:rPr>
        <w:t xml:space="preserve"> to </w:t>
      </w:r>
      <w:proofErr w:type="spellStart"/>
      <w:r w:rsidRPr="00FE7CEC">
        <w:rPr>
          <w:i/>
          <w:sz w:val="22"/>
          <w:szCs w:val="22"/>
        </w:rPr>
        <w:t>Amphilanthus</w:t>
      </w:r>
      <w:proofErr w:type="spellEnd"/>
      <w:r>
        <w:rPr>
          <w:sz w:val="22"/>
          <w:szCs w:val="22"/>
        </w:rPr>
        <w:t xml:space="preserve"> 1 (“When night’s black mantle could most darkness prove”), 16 (“Am I thus conquered? Have I lost the powers”), 39 (“Take heed mine eyes, how you your looks do cast”), 40 (“False hope which feeds but to destroy, and spill”), 68 (“My pain, still smothered in my </w:t>
      </w:r>
      <w:proofErr w:type="spellStart"/>
      <w:r>
        <w:rPr>
          <w:sz w:val="22"/>
          <w:szCs w:val="22"/>
        </w:rPr>
        <w:t>grievèd</w:t>
      </w:r>
      <w:proofErr w:type="spellEnd"/>
      <w:r>
        <w:rPr>
          <w:sz w:val="22"/>
          <w:szCs w:val="22"/>
        </w:rPr>
        <w:t xml:space="preserve"> breast”), 77 (“In this strange labyrinth how shall I turn?”), 103 (“My muse now happy, lay thyself to rest”)</w:t>
      </w:r>
    </w:p>
    <w:p w:rsidR="00FE7CEC" w:rsidRDefault="00FE7CEC" w:rsidP="00FE7CEC">
      <w:pPr>
        <w:tabs>
          <w:tab w:val="left" w:pos="2115"/>
        </w:tabs>
        <w:rPr>
          <w:sz w:val="22"/>
          <w:szCs w:val="22"/>
        </w:rPr>
      </w:pPr>
      <w:r>
        <w:rPr>
          <w:sz w:val="22"/>
          <w:szCs w:val="22"/>
        </w:rPr>
        <w:tab/>
      </w:r>
    </w:p>
    <w:p w:rsidR="00FE7CEC" w:rsidRPr="00FE7CEC" w:rsidRDefault="00FE7CEC" w:rsidP="00FE7CEC">
      <w:pPr>
        <w:rPr>
          <w:sz w:val="22"/>
          <w:szCs w:val="22"/>
        </w:rPr>
      </w:pPr>
      <w:r>
        <w:rPr>
          <w:sz w:val="22"/>
          <w:szCs w:val="22"/>
        </w:rPr>
        <w:t xml:space="preserve">William Shakespeare: </w:t>
      </w:r>
      <w:r w:rsidRPr="00FE7CEC">
        <w:rPr>
          <w:i/>
          <w:sz w:val="22"/>
          <w:szCs w:val="22"/>
        </w:rPr>
        <w:t>Hamlet</w:t>
      </w:r>
      <w:r>
        <w:rPr>
          <w:sz w:val="22"/>
          <w:szCs w:val="22"/>
        </w:rPr>
        <w:t xml:space="preserve">, </w:t>
      </w:r>
      <w:r w:rsidRPr="00FE7CEC">
        <w:rPr>
          <w:i/>
          <w:sz w:val="22"/>
          <w:szCs w:val="22"/>
        </w:rPr>
        <w:t>Twelfth Night</w:t>
      </w:r>
    </w:p>
    <w:p w:rsidR="0054212E" w:rsidRDefault="0054212E" w:rsidP="00C839D3">
      <w:pPr>
        <w:ind w:left="720" w:hanging="720"/>
        <w:rPr>
          <w:sz w:val="22"/>
          <w:szCs w:val="22"/>
        </w:rPr>
      </w:pPr>
    </w:p>
    <w:p w:rsidR="00C839D3" w:rsidRPr="008D56DD" w:rsidRDefault="00C839D3" w:rsidP="00C839D3">
      <w:pPr>
        <w:ind w:left="720" w:hanging="720"/>
        <w:rPr>
          <w:sz w:val="22"/>
          <w:szCs w:val="22"/>
        </w:rPr>
      </w:pPr>
      <w:r w:rsidRPr="008D56DD">
        <w:rPr>
          <w:sz w:val="22"/>
          <w:szCs w:val="22"/>
        </w:rPr>
        <w:t>The Metaphysical Lyric</w:t>
      </w:r>
    </w:p>
    <w:p w:rsidR="00C839D3" w:rsidRDefault="00C839D3" w:rsidP="00C839D3">
      <w:pPr>
        <w:widowControl w:val="0"/>
        <w:numPr>
          <w:ilvl w:val="0"/>
          <w:numId w:val="2"/>
        </w:numPr>
        <w:autoSpaceDE w:val="0"/>
        <w:autoSpaceDN w:val="0"/>
        <w:adjustRightInd w:val="0"/>
        <w:rPr>
          <w:sz w:val="22"/>
          <w:szCs w:val="22"/>
        </w:rPr>
      </w:pPr>
      <w:r>
        <w:rPr>
          <w:sz w:val="22"/>
          <w:szCs w:val="22"/>
        </w:rPr>
        <w:t>John Donne:</w:t>
      </w:r>
      <w:r w:rsidRPr="008D56DD">
        <w:rPr>
          <w:sz w:val="22"/>
          <w:szCs w:val="22"/>
        </w:rPr>
        <w:t xml:space="preserve"> “The Good Morrow,” “The Sun Rising,” “The Canonization,” </w:t>
      </w:r>
    </w:p>
    <w:p w:rsidR="00902E84" w:rsidRDefault="00C839D3" w:rsidP="00902E84">
      <w:pPr>
        <w:widowControl w:val="0"/>
        <w:autoSpaceDE w:val="0"/>
        <w:autoSpaceDN w:val="0"/>
        <w:adjustRightInd w:val="0"/>
        <w:ind w:left="360" w:firstLine="720"/>
        <w:rPr>
          <w:sz w:val="22"/>
          <w:szCs w:val="22"/>
        </w:rPr>
      </w:pPr>
      <w:r w:rsidRPr="008D56DD">
        <w:rPr>
          <w:sz w:val="22"/>
          <w:szCs w:val="22"/>
        </w:rPr>
        <w:t>“A Valediction Forbidding Mourning,” “The Ecstasy,” “Elegy: To His Mistress</w:t>
      </w:r>
    </w:p>
    <w:p w:rsidR="00C839D3" w:rsidRPr="008D56DD" w:rsidRDefault="00C839D3" w:rsidP="00902E84">
      <w:pPr>
        <w:widowControl w:val="0"/>
        <w:autoSpaceDE w:val="0"/>
        <w:autoSpaceDN w:val="0"/>
        <w:adjustRightInd w:val="0"/>
        <w:ind w:left="360" w:firstLine="720"/>
        <w:rPr>
          <w:sz w:val="22"/>
          <w:szCs w:val="22"/>
        </w:rPr>
      </w:pPr>
      <w:r w:rsidRPr="008D56DD">
        <w:rPr>
          <w:sz w:val="22"/>
          <w:szCs w:val="22"/>
        </w:rPr>
        <w:t xml:space="preserve"> Going to Bed,” “Good</w:t>
      </w:r>
      <w:r>
        <w:rPr>
          <w:sz w:val="22"/>
          <w:szCs w:val="22"/>
        </w:rPr>
        <w:t xml:space="preserve"> F</w:t>
      </w:r>
      <w:r w:rsidRPr="008D56DD">
        <w:rPr>
          <w:sz w:val="22"/>
          <w:szCs w:val="22"/>
        </w:rPr>
        <w:t>riday</w:t>
      </w:r>
      <w:r>
        <w:rPr>
          <w:sz w:val="22"/>
          <w:szCs w:val="22"/>
        </w:rPr>
        <w:t xml:space="preserve">, 1613. </w:t>
      </w:r>
      <w:r w:rsidRPr="008D56DD">
        <w:rPr>
          <w:sz w:val="22"/>
          <w:szCs w:val="22"/>
        </w:rPr>
        <w:t xml:space="preserve">Riding Westward” </w:t>
      </w:r>
    </w:p>
    <w:p w:rsidR="00C839D3" w:rsidRPr="008D56DD" w:rsidRDefault="00C839D3" w:rsidP="00004D6C">
      <w:pPr>
        <w:widowControl w:val="0"/>
        <w:autoSpaceDE w:val="0"/>
        <w:autoSpaceDN w:val="0"/>
        <w:adjustRightInd w:val="0"/>
        <w:rPr>
          <w:sz w:val="22"/>
          <w:szCs w:val="22"/>
        </w:rPr>
      </w:pPr>
    </w:p>
    <w:p w:rsidR="00C839D3" w:rsidRPr="00443346" w:rsidRDefault="00C839D3" w:rsidP="00C839D3">
      <w:pPr>
        <w:widowControl w:val="0"/>
        <w:autoSpaceDE w:val="0"/>
        <w:autoSpaceDN w:val="0"/>
        <w:adjustRightInd w:val="0"/>
        <w:ind w:left="720"/>
        <w:rPr>
          <w:sz w:val="22"/>
          <w:szCs w:val="22"/>
        </w:rPr>
      </w:pPr>
    </w:p>
    <w:p w:rsidR="00C839D3" w:rsidRPr="008D56DD" w:rsidRDefault="00C839D3" w:rsidP="00C839D3">
      <w:pPr>
        <w:ind w:left="720" w:hanging="720"/>
        <w:rPr>
          <w:sz w:val="22"/>
          <w:szCs w:val="22"/>
        </w:rPr>
      </w:pPr>
      <w:r w:rsidRPr="008D56DD">
        <w:rPr>
          <w:sz w:val="22"/>
          <w:szCs w:val="22"/>
        </w:rPr>
        <w:t xml:space="preserve">The Cavalier or Early Neoclassical Mode </w:t>
      </w:r>
    </w:p>
    <w:p w:rsidR="00902E84" w:rsidRPr="00902E84" w:rsidRDefault="00C839D3" w:rsidP="00C839D3">
      <w:pPr>
        <w:widowControl w:val="0"/>
        <w:numPr>
          <w:ilvl w:val="0"/>
          <w:numId w:val="2"/>
        </w:numPr>
        <w:autoSpaceDE w:val="0"/>
        <w:autoSpaceDN w:val="0"/>
        <w:adjustRightInd w:val="0"/>
        <w:rPr>
          <w:sz w:val="22"/>
          <w:szCs w:val="22"/>
        </w:rPr>
      </w:pPr>
      <w:r>
        <w:rPr>
          <w:sz w:val="22"/>
          <w:szCs w:val="22"/>
        </w:rPr>
        <w:t>Ben Jonson:</w:t>
      </w:r>
      <w:r w:rsidRPr="008D56DD">
        <w:rPr>
          <w:sz w:val="22"/>
          <w:szCs w:val="22"/>
        </w:rPr>
        <w:t xml:space="preserve"> “To </w:t>
      </w:r>
      <w:proofErr w:type="spellStart"/>
      <w:r w:rsidRPr="008D56DD">
        <w:rPr>
          <w:sz w:val="22"/>
          <w:szCs w:val="22"/>
        </w:rPr>
        <w:t>Penshurst</w:t>
      </w:r>
      <w:proofErr w:type="spellEnd"/>
      <w:r w:rsidRPr="008D56DD">
        <w:rPr>
          <w:sz w:val="22"/>
          <w:szCs w:val="22"/>
        </w:rPr>
        <w:t>,” “Inviting a Friend to Supper,” “To William Camden” (</w:t>
      </w:r>
      <w:r w:rsidRPr="008D56DD">
        <w:rPr>
          <w:i/>
          <w:iCs/>
          <w:sz w:val="22"/>
          <w:szCs w:val="22"/>
        </w:rPr>
        <w:t>Epigram</w:t>
      </w:r>
    </w:p>
    <w:p w:rsidR="0054212E" w:rsidRPr="00D24007" w:rsidRDefault="00902E84" w:rsidP="00D24007">
      <w:pPr>
        <w:widowControl w:val="0"/>
        <w:autoSpaceDE w:val="0"/>
        <w:autoSpaceDN w:val="0"/>
        <w:adjustRightInd w:val="0"/>
        <w:ind w:left="720"/>
        <w:rPr>
          <w:sz w:val="22"/>
          <w:szCs w:val="22"/>
        </w:rPr>
      </w:pPr>
      <w:r>
        <w:rPr>
          <w:sz w:val="22"/>
          <w:szCs w:val="22"/>
        </w:rPr>
        <w:t xml:space="preserve">          </w:t>
      </w:r>
      <w:r w:rsidR="00C839D3" w:rsidRPr="008D56DD">
        <w:rPr>
          <w:sz w:val="22"/>
          <w:szCs w:val="22"/>
        </w:rPr>
        <w:t>14)</w:t>
      </w:r>
      <w:proofErr w:type="gramStart"/>
      <w:r w:rsidR="00C839D3" w:rsidRPr="008D56DD">
        <w:rPr>
          <w:sz w:val="22"/>
          <w:szCs w:val="22"/>
        </w:rPr>
        <w:t>,“</w:t>
      </w:r>
      <w:proofErr w:type="gramEnd"/>
      <w:r w:rsidR="00C839D3" w:rsidRPr="008D56DD">
        <w:rPr>
          <w:sz w:val="22"/>
          <w:szCs w:val="22"/>
        </w:rPr>
        <w:t>To the Immortal Memory and Friendship of that</w:t>
      </w:r>
      <w:r w:rsidR="00D24007">
        <w:rPr>
          <w:sz w:val="22"/>
          <w:szCs w:val="22"/>
        </w:rPr>
        <w:t xml:space="preserve"> Noble Pair, Sir Lucius Cary an</w:t>
      </w:r>
    </w:p>
    <w:p w:rsidR="0054212E" w:rsidRDefault="0054212E" w:rsidP="00C839D3">
      <w:pPr>
        <w:rPr>
          <w:iCs/>
          <w:sz w:val="22"/>
          <w:szCs w:val="22"/>
        </w:rPr>
      </w:pPr>
    </w:p>
    <w:p w:rsidR="0054212E" w:rsidRDefault="0054212E" w:rsidP="00C839D3">
      <w:pPr>
        <w:rPr>
          <w:iCs/>
          <w:sz w:val="22"/>
          <w:szCs w:val="22"/>
        </w:rPr>
      </w:pPr>
    </w:p>
    <w:p w:rsidR="0054212E" w:rsidRDefault="0054212E" w:rsidP="00C839D3">
      <w:pPr>
        <w:rPr>
          <w:iCs/>
          <w:sz w:val="22"/>
          <w:szCs w:val="22"/>
        </w:rPr>
      </w:pPr>
    </w:p>
    <w:p w:rsidR="0054212E" w:rsidRDefault="0054212E" w:rsidP="0054212E">
      <w:pPr>
        <w:jc w:val="center"/>
        <w:rPr>
          <w:b/>
          <w:i/>
          <w:sz w:val="22"/>
          <w:szCs w:val="22"/>
        </w:rPr>
      </w:pPr>
      <w:r w:rsidRPr="001D2666">
        <w:rPr>
          <w:b/>
          <w:i/>
          <w:sz w:val="22"/>
          <w:szCs w:val="22"/>
        </w:rPr>
        <w:t>Restoration and Eighteenth Century</w:t>
      </w:r>
    </w:p>
    <w:p w:rsidR="0054212E" w:rsidRPr="001D2666" w:rsidRDefault="0054212E" w:rsidP="0054212E">
      <w:pPr>
        <w:rPr>
          <w:i/>
          <w:sz w:val="22"/>
          <w:szCs w:val="22"/>
        </w:rPr>
      </w:pPr>
    </w:p>
    <w:p w:rsidR="0054212E" w:rsidRDefault="00D24007" w:rsidP="0054212E">
      <w:pPr>
        <w:rPr>
          <w:sz w:val="22"/>
          <w:szCs w:val="22"/>
        </w:rPr>
      </w:pPr>
      <w:r>
        <w:rPr>
          <w:sz w:val="22"/>
          <w:szCs w:val="22"/>
        </w:rPr>
        <w:t xml:space="preserve">Alexander Pope: </w:t>
      </w:r>
      <w:r w:rsidRPr="00D24007">
        <w:rPr>
          <w:i/>
          <w:sz w:val="22"/>
          <w:szCs w:val="22"/>
        </w:rPr>
        <w:t xml:space="preserve">Essay on Criticism, </w:t>
      </w:r>
      <w:proofErr w:type="gramStart"/>
      <w:r w:rsidRPr="00D24007">
        <w:rPr>
          <w:i/>
          <w:sz w:val="22"/>
          <w:szCs w:val="22"/>
        </w:rPr>
        <w:t>The</w:t>
      </w:r>
      <w:proofErr w:type="gramEnd"/>
      <w:r w:rsidRPr="00D24007">
        <w:rPr>
          <w:i/>
          <w:sz w:val="22"/>
          <w:szCs w:val="22"/>
        </w:rPr>
        <w:t xml:space="preserve"> Rape of the Lock</w:t>
      </w:r>
      <w:r>
        <w:rPr>
          <w:sz w:val="22"/>
          <w:szCs w:val="22"/>
        </w:rPr>
        <w:t>, “</w:t>
      </w:r>
      <w:r w:rsidR="0054212E" w:rsidRPr="00F71B6C">
        <w:rPr>
          <w:sz w:val="22"/>
          <w:szCs w:val="22"/>
        </w:rPr>
        <w:t>Epistle to Dr. Arbuthnot</w:t>
      </w:r>
      <w:r w:rsidR="0054212E">
        <w:rPr>
          <w:sz w:val="22"/>
          <w:szCs w:val="22"/>
        </w:rPr>
        <w:t>”</w:t>
      </w:r>
    </w:p>
    <w:p w:rsidR="00D24007" w:rsidRPr="00F71B6C" w:rsidRDefault="00D24007" w:rsidP="0054212E">
      <w:pPr>
        <w:rPr>
          <w:sz w:val="22"/>
          <w:szCs w:val="22"/>
        </w:rPr>
      </w:pPr>
      <w:r>
        <w:rPr>
          <w:sz w:val="22"/>
          <w:szCs w:val="22"/>
        </w:rPr>
        <w:t>Jonathon Swift: Gulliver’s Travels, “Verses on the Death of Dr. Swift,” “A Modest Proposal”</w:t>
      </w:r>
    </w:p>
    <w:p w:rsidR="0054212E" w:rsidRPr="001D2666" w:rsidRDefault="0054212E" w:rsidP="0054212E">
      <w:pPr>
        <w:rPr>
          <w:i/>
          <w:sz w:val="22"/>
          <w:szCs w:val="22"/>
        </w:rPr>
      </w:pPr>
      <w:r>
        <w:rPr>
          <w:sz w:val="22"/>
          <w:szCs w:val="22"/>
        </w:rPr>
        <w:t>Henry Fielding:</w:t>
      </w:r>
      <w:r w:rsidRPr="001D2666">
        <w:rPr>
          <w:sz w:val="22"/>
          <w:szCs w:val="22"/>
        </w:rPr>
        <w:t xml:space="preserve"> </w:t>
      </w:r>
      <w:r w:rsidRPr="001D2666">
        <w:rPr>
          <w:i/>
          <w:sz w:val="22"/>
          <w:szCs w:val="22"/>
        </w:rPr>
        <w:t>Tom Jones</w:t>
      </w:r>
    </w:p>
    <w:p w:rsidR="00D24007" w:rsidRDefault="00D24007" w:rsidP="0054212E">
      <w:pPr>
        <w:rPr>
          <w:i/>
          <w:sz w:val="22"/>
          <w:szCs w:val="22"/>
        </w:rPr>
      </w:pPr>
      <w:r>
        <w:rPr>
          <w:sz w:val="22"/>
          <w:szCs w:val="22"/>
        </w:rPr>
        <w:t>John Gay:</w:t>
      </w:r>
      <w:r w:rsidRPr="001D2666">
        <w:rPr>
          <w:sz w:val="22"/>
          <w:szCs w:val="22"/>
        </w:rPr>
        <w:t xml:space="preserve"> </w:t>
      </w:r>
      <w:r w:rsidRPr="001D2666">
        <w:rPr>
          <w:i/>
          <w:sz w:val="22"/>
          <w:szCs w:val="22"/>
        </w:rPr>
        <w:t>The Beggar’s Opera</w:t>
      </w:r>
    </w:p>
    <w:p w:rsidR="00D24007" w:rsidRPr="00D24007" w:rsidRDefault="00D24007" w:rsidP="0054212E">
      <w:pPr>
        <w:rPr>
          <w:sz w:val="22"/>
          <w:szCs w:val="22"/>
        </w:rPr>
      </w:pPr>
      <w:r>
        <w:rPr>
          <w:sz w:val="22"/>
          <w:szCs w:val="22"/>
        </w:rPr>
        <w:t xml:space="preserve">Samuel Johnson: </w:t>
      </w:r>
      <w:proofErr w:type="spellStart"/>
      <w:r w:rsidRPr="00D24007">
        <w:rPr>
          <w:i/>
          <w:sz w:val="22"/>
          <w:szCs w:val="22"/>
        </w:rPr>
        <w:t>Rasselas</w:t>
      </w:r>
      <w:proofErr w:type="spellEnd"/>
      <w:r>
        <w:rPr>
          <w:sz w:val="22"/>
          <w:szCs w:val="22"/>
        </w:rPr>
        <w:t>, “The Vanity of Human Wishes”</w:t>
      </w:r>
    </w:p>
    <w:p w:rsidR="0054212E" w:rsidRDefault="0054212E" w:rsidP="0054212E">
      <w:pPr>
        <w:rPr>
          <w:i/>
          <w:sz w:val="22"/>
          <w:szCs w:val="22"/>
        </w:rPr>
      </w:pPr>
      <w:r w:rsidRPr="001D2666">
        <w:rPr>
          <w:sz w:val="22"/>
          <w:szCs w:val="22"/>
        </w:rPr>
        <w:t>Fann</w:t>
      </w:r>
      <w:r>
        <w:rPr>
          <w:sz w:val="22"/>
          <w:szCs w:val="22"/>
        </w:rPr>
        <w:t>y Burney:</w:t>
      </w:r>
      <w:r w:rsidRPr="001D2666">
        <w:rPr>
          <w:sz w:val="22"/>
          <w:szCs w:val="22"/>
        </w:rPr>
        <w:t xml:space="preserve"> </w:t>
      </w:r>
      <w:proofErr w:type="spellStart"/>
      <w:r w:rsidRPr="001D2666">
        <w:rPr>
          <w:i/>
          <w:sz w:val="22"/>
          <w:szCs w:val="22"/>
        </w:rPr>
        <w:t>Evelina</w:t>
      </w:r>
      <w:proofErr w:type="spellEnd"/>
    </w:p>
    <w:p w:rsidR="0054212E" w:rsidRDefault="0054212E" w:rsidP="0054212E">
      <w:pPr>
        <w:rPr>
          <w:i/>
          <w:sz w:val="22"/>
          <w:szCs w:val="22"/>
        </w:rPr>
      </w:pPr>
    </w:p>
    <w:p w:rsidR="0054212E" w:rsidRDefault="0054212E" w:rsidP="0054212E">
      <w:pPr>
        <w:rPr>
          <w:i/>
          <w:sz w:val="22"/>
          <w:szCs w:val="22"/>
        </w:rPr>
      </w:pPr>
    </w:p>
    <w:p w:rsidR="0054212E" w:rsidRPr="000A5D93" w:rsidRDefault="0054212E" w:rsidP="0054212E">
      <w:pPr>
        <w:jc w:val="center"/>
        <w:rPr>
          <w:i/>
          <w:sz w:val="22"/>
          <w:szCs w:val="22"/>
        </w:rPr>
      </w:pPr>
      <w:r>
        <w:rPr>
          <w:b/>
          <w:i/>
          <w:sz w:val="22"/>
          <w:szCs w:val="22"/>
        </w:rPr>
        <w:t>Nineteenth-</w:t>
      </w:r>
      <w:r w:rsidRPr="000A5D93">
        <w:rPr>
          <w:b/>
          <w:i/>
          <w:sz w:val="22"/>
          <w:szCs w:val="22"/>
        </w:rPr>
        <w:t>Century</w:t>
      </w:r>
      <w:r>
        <w:rPr>
          <w:b/>
          <w:i/>
          <w:sz w:val="22"/>
          <w:szCs w:val="22"/>
        </w:rPr>
        <w:t xml:space="preserve"> British</w:t>
      </w:r>
    </w:p>
    <w:p w:rsidR="0054212E" w:rsidRPr="00CB6AF9" w:rsidRDefault="0054212E" w:rsidP="0054212E">
      <w:pPr>
        <w:rPr>
          <w:sz w:val="22"/>
          <w:szCs w:val="22"/>
        </w:rPr>
      </w:pPr>
    </w:p>
    <w:p w:rsidR="00805640" w:rsidRDefault="00067FA4" w:rsidP="00805640">
      <w:pPr>
        <w:rPr>
          <w:sz w:val="22"/>
          <w:szCs w:val="22"/>
        </w:rPr>
      </w:pPr>
      <w:r w:rsidRPr="00CB6AF9">
        <w:rPr>
          <w:sz w:val="22"/>
          <w:szCs w:val="22"/>
        </w:rPr>
        <w:t>William Wordsworth: “</w:t>
      </w:r>
      <w:proofErr w:type="spellStart"/>
      <w:r w:rsidRPr="00CB6AF9">
        <w:rPr>
          <w:sz w:val="22"/>
          <w:szCs w:val="22"/>
        </w:rPr>
        <w:t>Tintern</w:t>
      </w:r>
      <w:proofErr w:type="spellEnd"/>
      <w:r w:rsidRPr="00CB6AF9">
        <w:rPr>
          <w:sz w:val="22"/>
          <w:szCs w:val="22"/>
        </w:rPr>
        <w:t xml:space="preserve"> Abbey,” “Ode: Intimations of Immortality,” “Resolution and</w:t>
      </w:r>
    </w:p>
    <w:p w:rsidR="00067FA4" w:rsidRPr="00CB6AF9" w:rsidRDefault="00067FA4" w:rsidP="00805640">
      <w:pPr>
        <w:ind w:left="720"/>
        <w:rPr>
          <w:sz w:val="22"/>
          <w:szCs w:val="22"/>
        </w:rPr>
      </w:pPr>
      <w:r w:rsidRPr="00CB6AF9">
        <w:rPr>
          <w:sz w:val="22"/>
          <w:szCs w:val="22"/>
        </w:rPr>
        <w:t xml:space="preserve">Independence,” “Elegiac Stanzas,” </w:t>
      </w:r>
      <w:r w:rsidRPr="00CB6AF9">
        <w:rPr>
          <w:i/>
          <w:sz w:val="22"/>
          <w:szCs w:val="22"/>
        </w:rPr>
        <w:t xml:space="preserve">Michael, The </w:t>
      </w:r>
      <w:proofErr w:type="gramStart"/>
      <w:r w:rsidRPr="00CB6AF9">
        <w:rPr>
          <w:i/>
          <w:sz w:val="22"/>
          <w:szCs w:val="22"/>
        </w:rPr>
        <w:t>Prelude</w:t>
      </w:r>
      <w:r w:rsidRPr="00CB6AF9">
        <w:rPr>
          <w:sz w:val="22"/>
          <w:szCs w:val="22"/>
        </w:rPr>
        <w:t xml:space="preserve">  I</w:t>
      </w:r>
      <w:proofErr w:type="gramEnd"/>
      <w:r w:rsidRPr="00CB6AF9">
        <w:rPr>
          <w:sz w:val="22"/>
          <w:szCs w:val="22"/>
        </w:rPr>
        <w:t>-II (1805 edition</w:t>
      </w:r>
      <w:r>
        <w:rPr>
          <w:sz w:val="22"/>
          <w:szCs w:val="22"/>
        </w:rPr>
        <w:t>)</w:t>
      </w:r>
      <w:r w:rsidRPr="00CB6AF9">
        <w:rPr>
          <w:sz w:val="22"/>
          <w:szCs w:val="22"/>
        </w:rPr>
        <w:t xml:space="preserve">, Preface to the Second Edition of </w:t>
      </w:r>
      <w:r w:rsidRPr="00CB6AF9">
        <w:rPr>
          <w:i/>
          <w:sz w:val="22"/>
          <w:szCs w:val="22"/>
        </w:rPr>
        <w:t>Lyrical Ballads</w:t>
      </w:r>
    </w:p>
    <w:p w:rsidR="00805640" w:rsidRDefault="00067FA4" w:rsidP="00067FA4">
      <w:pPr>
        <w:rPr>
          <w:sz w:val="22"/>
          <w:szCs w:val="22"/>
        </w:rPr>
      </w:pPr>
      <w:r w:rsidRPr="00CB6AF9">
        <w:rPr>
          <w:sz w:val="22"/>
          <w:szCs w:val="22"/>
        </w:rPr>
        <w:t xml:space="preserve">Lord Byron: </w:t>
      </w:r>
      <w:r w:rsidRPr="00CB6AF9">
        <w:rPr>
          <w:i/>
          <w:sz w:val="22"/>
          <w:szCs w:val="22"/>
        </w:rPr>
        <w:t>Childe Harold’s Pilgrimage</w:t>
      </w:r>
      <w:r w:rsidRPr="00CB6AF9">
        <w:rPr>
          <w:sz w:val="22"/>
          <w:szCs w:val="22"/>
        </w:rPr>
        <w:t>, selections printed in the Norton anthology (8</w:t>
      </w:r>
      <w:r w:rsidRPr="00CB6AF9">
        <w:rPr>
          <w:sz w:val="22"/>
          <w:szCs w:val="22"/>
          <w:vertAlign w:val="superscript"/>
        </w:rPr>
        <w:t>th</w:t>
      </w:r>
      <w:r w:rsidRPr="00CB6AF9">
        <w:rPr>
          <w:sz w:val="22"/>
          <w:szCs w:val="22"/>
        </w:rPr>
        <w:t xml:space="preserve"> edition)</w:t>
      </w:r>
      <w:r>
        <w:rPr>
          <w:sz w:val="22"/>
          <w:szCs w:val="22"/>
        </w:rPr>
        <w:t>;</w:t>
      </w:r>
    </w:p>
    <w:p w:rsidR="00067FA4" w:rsidRPr="00CB6AF9" w:rsidRDefault="00067FA4" w:rsidP="00067FA4">
      <w:pPr>
        <w:rPr>
          <w:sz w:val="22"/>
          <w:szCs w:val="22"/>
        </w:rPr>
      </w:pPr>
      <w:r>
        <w:rPr>
          <w:sz w:val="22"/>
          <w:szCs w:val="22"/>
        </w:rPr>
        <w:tab/>
      </w:r>
      <w:r w:rsidRPr="00CB6AF9">
        <w:rPr>
          <w:i/>
          <w:sz w:val="22"/>
          <w:szCs w:val="22"/>
        </w:rPr>
        <w:t>Don Juan</w:t>
      </w:r>
      <w:r>
        <w:rPr>
          <w:sz w:val="22"/>
          <w:szCs w:val="22"/>
        </w:rPr>
        <w:t>,</w:t>
      </w:r>
      <w:r w:rsidRPr="00CB6AF9">
        <w:rPr>
          <w:sz w:val="22"/>
          <w:szCs w:val="22"/>
        </w:rPr>
        <w:t xml:space="preserve"> selections printed in the Norton anthology (8</w:t>
      </w:r>
      <w:r w:rsidRPr="00CB6AF9">
        <w:rPr>
          <w:sz w:val="22"/>
          <w:szCs w:val="22"/>
          <w:vertAlign w:val="superscript"/>
        </w:rPr>
        <w:t>th</w:t>
      </w:r>
      <w:r w:rsidRPr="00CB6AF9">
        <w:rPr>
          <w:sz w:val="22"/>
          <w:szCs w:val="22"/>
        </w:rPr>
        <w:t xml:space="preserve"> edition)</w:t>
      </w:r>
      <w:r>
        <w:rPr>
          <w:sz w:val="22"/>
          <w:szCs w:val="22"/>
        </w:rPr>
        <w:t>;</w:t>
      </w:r>
      <w:r w:rsidRPr="00CB6AF9">
        <w:rPr>
          <w:sz w:val="22"/>
          <w:szCs w:val="22"/>
        </w:rPr>
        <w:t xml:space="preserve"> </w:t>
      </w:r>
      <w:r w:rsidRPr="00CB6AF9">
        <w:rPr>
          <w:i/>
          <w:sz w:val="22"/>
          <w:szCs w:val="22"/>
        </w:rPr>
        <w:t>Manfred</w:t>
      </w:r>
    </w:p>
    <w:p w:rsidR="00805640" w:rsidRDefault="00067FA4" w:rsidP="00067FA4">
      <w:pPr>
        <w:rPr>
          <w:sz w:val="22"/>
          <w:szCs w:val="22"/>
        </w:rPr>
      </w:pPr>
      <w:r w:rsidRPr="00CB6AF9">
        <w:rPr>
          <w:sz w:val="22"/>
          <w:szCs w:val="22"/>
        </w:rPr>
        <w:t>P.B. Shelley: “Ode to the West Wind,” “The Cloud,” “Hymn to Intellectual Beauty,” “To a Sky-</w:t>
      </w:r>
      <w:r>
        <w:rPr>
          <w:sz w:val="22"/>
          <w:szCs w:val="22"/>
        </w:rPr>
        <w:tab/>
      </w:r>
      <w:r w:rsidRPr="00CB6AF9">
        <w:rPr>
          <w:sz w:val="22"/>
          <w:szCs w:val="22"/>
        </w:rPr>
        <w:t>Lark,”</w:t>
      </w:r>
    </w:p>
    <w:p w:rsidR="00067FA4" w:rsidRPr="00CB6AF9" w:rsidRDefault="00067FA4" w:rsidP="00805640">
      <w:pPr>
        <w:ind w:firstLine="720"/>
        <w:rPr>
          <w:sz w:val="22"/>
          <w:szCs w:val="22"/>
        </w:rPr>
      </w:pPr>
      <w:proofErr w:type="spellStart"/>
      <w:r w:rsidRPr="00CB6AF9">
        <w:rPr>
          <w:i/>
          <w:sz w:val="22"/>
          <w:szCs w:val="22"/>
        </w:rPr>
        <w:t>Adonais</w:t>
      </w:r>
      <w:proofErr w:type="spellEnd"/>
      <w:r w:rsidRPr="00CB6AF9">
        <w:rPr>
          <w:sz w:val="22"/>
          <w:szCs w:val="22"/>
        </w:rPr>
        <w:t>, “Mont Blanc”</w:t>
      </w:r>
    </w:p>
    <w:p w:rsidR="00805640" w:rsidRDefault="00067FA4" w:rsidP="00067FA4">
      <w:pPr>
        <w:rPr>
          <w:sz w:val="22"/>
          <w:szCs w:val="22"/>
        </w:rPr>
      </w:pPr>
      <w:r w:rsidRPr="00CB6AF9">
        <w:rPr>
          <w:sz w:val="22"/>
          <w:szCs w:val="22"/>
        </w:rPr>
        <w:t xml:space="preserve">Lord Tennyson: “The Lady of </w:t>
      </w:r>
      <w:proofErr w:type="spellStart"/>
      <w:r w:rsidRPr="00CB6AF9">
        <w:rPr>
          <w:sz w:val="22"/>
          <w:szCs w:val="22"/>
        </w:rPr>
        <w:t>Shalott</w:t>
      </w:r>
      <w:proofErr w:type="spellEnd"/>
      <w:r w:rsidRPr="00CB6AF9">
        <w:rPr>
          <w:sz w:val="22"/>
          <w:szCs w:val="22"/>
        </w:rPr>
        <w:t xml:space="preserve">,” “The </w:t>
      </w:r>
      <w:proofErr w:type="spellStart"/>
      <w:r w:rsidRPr="00CB6AF9">
        <w:rPr>
          <w:sz w:val="22"/>
          <w:szCs w:val="22"/>
        </w:rPr>
        <w:t>Lotos</w:t>
      </w:r>
      <w:proofErr w:type="spellEnd"/>
      <w:r w:rsidRPr="00CB6AF9">
        <w:rPr>
          <w:sz w:val="22"/>
          <w:szCs w:val="22"/>
        </w:rPr>
        <w:t>-Eaters,” “Ulysses,” “</w:t>
      </w:r>
      <w:proofErr w:type="spellStart"/>
      <w:r w:rsidRPr="00CB6AF9">
        <w:rPr>
          <w:sz w:val="22"/>
          <w:szCs w:val="22"/>
        </w:rPr>
        <w:t>Tithonus</w:t>
      </w:r>
      <w:proofErr w:type="spellEnd"/>
      <w:r w:rsidRPr="00CB6AF9">
        <w:rPr>
          <w:sz w:val="22"/>
          <w:szCs w:val="22"/>
        </w:rPr>
        <w:t>,” “Locksley Hall,”</w:t>
      </w:r>
    </w:p>
    <w:p w:rsidR="00067FA4" w:rsidRPr="00CB6AF9" w:rsidRDefault="00067FA4" w:rsidP="00805640">
      <w:pPr>
        <w:ind w:firstLine="720"/>
        <w:rPr>
          <w:sz w:val="22"/>
          <w:szCs w:val="22"/>
        </w:rPr>
      </w:pPr>
      <w:r w:rsidRPr="00CB6AF9">
        <w:rPr>
          <w:i/>
          <w:sz w:val="22"/>
          <w:szCs w:val="22"/>
        </w:rPr>
        <w:t>In Memoriam</w:t>
      </w:r>
    </w:p>
    <w:p w:rsidR="00805640" w:rsidRDefault="00067FA4" w:rsidP="0054212E">
      <w:pPr>
        <w:rPr>
          <w:sz w:val="22"/>
          <w:szCs w:val="22"/>
        </w:rPr>
      </w:pPr>
      <w:r>
        <w:rPr>
          <w:sz w:val="22"/>
          <w:szCs w:val="22"/>
        </w:rPr>
        <w:t xml:space="preserve">E. B. Browning: </w:t>
      </w:r>
      <w:r w:rsidRPr="00067FA4">
        <w:rPr>
          <w:i/>
          <w:sz w:val="22"/>
          <w:szCs w:val="22"/>
        </w:rPr>
        <w:t xml:space="preserve">Sonnets from the </w:t>
      </w:r>
      <w:proofErr w:type="spellStart"/>
      <w:r w:rsidRPr="00067FA4">
        <w:rPr>
          <w:i/>
          <w:sz w:val="22"/>
          <w:szCs w:val="22"/>
        </w:rPr>
        <w:t>Portugueuse</w:t>
      </w:r>
      <w:proofErr w:type="spellEnd"/>
      <w:r>
        <w:rPr>
          <w:sz w:val="22"/>
          <w:szCs w:val="22"/>
        </w:rPr>
        <w:t xml:space="preserve"> (21, 22, 32, </w:t>
      </w:r>
      <w:proofErr w:type="gramStart"/>
      <w:r>
        <w:rPr>
          <w:sz w:val="22"/>
          <w:szCs w:val="22"/>
        </w:rPr>
        <w:t>43</w:t>
      </w:r>
      <w:proofErr w:type="gramEnd"/>
      <w:r>
        <w:rPr>
          <w:sz w:val="22"/>
          <w:szCs w:val="22"/>
        </w:rPr>
        <w:t xml:space="preserve">), </w:t>
      </w:r>
      <w:r w:rsidRPr="00067FA4">
        <w:rPr>
          <w:i/>
          <w:sz w:val="22"/>
          <w:szCs w:val="22"/>
        </w:rPr>
        <w:t>Aurora Leigh</w:t>
      </w:r>
      <w:r>
        <w:rPr>
          <w:sz w:val="22"/>
          <w:szCs w:val="22"/>
        </w:rPr>
        <w:t xml:space="preserve">, selections printed in </w:t>
      </w:r>
    </w:p>
    <w:p w:rsidR="00067FA4" w:rsidRDefault="00067FA4" w:rsidP="00805640">
      <w:pPr>
        <w:ind w:firstLine="720"/>
        <w:rPr>
          <w:sz w:val="22"/>
          <w:szCs w:val="22"/>
        </w:rPr>
      </w:pPr>
      <w:proofErr w:type="gramStart"/>
      <w:r>
        <w:rPr>
          <w:sz w:val="22"/>
          <w:szCs w:val="22"/>
        </w:rPr>
        <w:t>the</w:t>
      </w:r>
      <w:proofErr w:type="gramEnd"/>
      <w:r>
        <w:rPr>
          <w:sz w:val="22"/>
          <w:szCs w:val="22"/>
        </w:rPr>
        <w:t xml:space="preserve"> Norton Anthology.</w:t>
      </w:r>
    </w:p>
    <w:p w:rsidR="0054212E" w:rsidRDefault="0054212E" w:rsidP="0054212E">
      <w:pPr>
        <w:rPr>
          <w:i/>
          <w:sz w:val="22"/>
          <w:szCs w:val="22"/>
        </w:rPr>
      </w:pPr>
      <w:r w:rsidRPr="00CB6AF9">
        <w:rPr>
          <w:sz w:val="22"/>
          <w:szCs w:val="22"/>
        </w:rPr>
        <w:t xml:space="preserve">Christina Rossetti: </w:t>
      </w:r>
      <w:r w:rsidRPr="00CB6AF9">
        <w:rPr>
          <w:i/>
          <w:sz w:val="22"/>
          <w:szCs w:val="22"/>
        </w:rPr>
        <w:t>Goblin Market</w:t>
      </w:r>
    </w:p>
    <w:p w:rsidR="00067FA4" w:rsidRDefault="00067FA4" w:rsidP="00067FA4">
      <w:pPr>
        <w:rPr>
          <w:sz w:val="22"/>
          <w:szCs w:val="22"/>
        </w:rPr>
      </w:pPr>
      <w:r w:rsidRPr="00CB6AF9">
        <w:rPr>
          <w:sz w:val="22"/>
          <w:szCs w:val="22"/>
        </w:rPr>
        <w:t xml:space="preserve">W.M. Thackeray: </w:t>
      </w:r>
      <w:r w:rsidRPr="00CB6AF9">
        <w:rPr>
          <w:i/>
          <w:sz w:val="22"/>
          <w:szCs w:val="22"/>
        </w:rPr>
        <w:t>Vanity Fair</w:t>
      </w:r>
    </w:p>
    <w:p w:rsidR="0054212E" w:rsidRDefault="0054212E" w:rsidP="0054212E">
      <w:pPr>
        <w:rPr>
          <w:i/>
          <w:sz w:val="22"/>
          <w:szCs w:val="22"/>
        </w:rPr>
      </w:pPr>
      <w:r w:rsidRPr="00CB6AF9">
        <w:rPr>
          <w:sz w:val="22"/>
          <w:szCs w:val="22"/>
        </w:rPr>
        <w:t xml:space="preserve">Oscar Wilde: </w:t>
      </w:r>
      <w:r w:rsidRPr="00CB6AF9">
        <w:rPr>
          <w:i/>
          <w:sz w:val="22"/>
          <w:szCs w:val="22"/>
        </w:rPr>
        <w:t>The Importance of Being Earnest</w:t>
      </w:r>
    </w:p>
    <w:p w:rsidR="00DE0B7A" w:rsidRDefault="00DE0B7A" w:rsidP="0054212E">
      <w:pPr>
        <w:rPr>
          <w:i/>
          <w:sz w:val="22"/>
          <w:szCs w:val="22"/>
        </w:rPr>
      </w:pPr>
    </w:p>
    <w:p w:rsidR="00DE0B7A" w:rsidRDefault="00DE0B7A" w:rsidP="0054212E">
      <w:pPr>
        <w:rPr>
          <w:i/>
          <w:sz w:val="22"/>
          <w:szCs w:val="22"/>
        </w:rPr>
      </w:pPr>
    </w:p>
    <w:p w:rsidR="00DE0B7A" w:rsidRPr="00C42B87" w:rsidRDefault="00DE0B7A" w:rsidP="00DE0B7A">
      <w:pPr>
        <w:pStyle w:val="Heading1"/>
        <w:rPr>
          <w:i/>
          <w:sz w:val="22"/>
          <w:szCs w:val="22"/>
        </w:rPr>
      </w:pPr>
      <w:r>
        <w:rPr>
          <w:i/>
          <w:sz w:val="22"/>
          <w:szCs w:val="22"/>
        </w:rPr>
        <w:t>Twentieth-Century British/Postcolonial</w:t>
      </w:r>
    </w:p>
    <w:p w:rsidR="00DE0B7A" w:rsidRPr="00C42B87" w:rsidRDefault="00DE0B7A" w:rsidP="00DE0B7A">
      <w:pPr>
        <w:rPr>
          <w:i/>
          <w:iCs/>
          <w:sz w:val="22"/>
          <w:szCs w:val="22"/>
        </w:rPr>
      </w:pPr>
    </w:p>
    <w:p w:rsidR="006B42BD" w:rsidRDefault="006B42BD" w:rsidP="006B42BD">
      <w:pPr>
        <w:ind w:left="720" w:hanging="720"/>
        <w:rPr>
          <w:sz w:val="22"/>
          <w:szCs w:val="22"/>
        </w:rPr>
      </w:pPr>
      <w:r w:rsidRPr="00C42B87">
        <w:rPr>
          <w:sz w:val="22"/>
          <w:szCs w:val="22"/>
        </w:rPr>
        <w:t xml:space="preserve">W. B. Yeats:  “The Stolen Child,” “The Lake Isle of Innisfree,” “Adam’s Curse,” “September 1913,” “The Wild Swans at </w:t>
      </w:r>
      <w:proofErr w:type="spellStart"/>
      <w:r w:rsidRPr="00C42B87">
        <w:rPr>
          <w:sz w:val="22"/>
          <w:szCs w:val="22"/>
        </w:rPr>
        <w:t>Coole</w:t>
      </w:r>
      <w:proofErr w:type="spellEnd"/>
      <w:r w:rsidRPr="00C42B87">
        <w:rPr>
          <w:sz w:val="22"/>
          <w:szCs w:val="22"/>
        </w:rPr>
        <w:t xml:space="preserve">,” “Easter 1916,” “The Second Coming,” “Sailing to Byzantium,” “Leda and the Swan,” “Among School Children,” “Lapis Lazuli,” “The Circus Animals’ Desertion,” “Under Ben </w:t>
      </w:r>
      <w:proofErr w:type="spellStart"/>
      <w:r w:rsidRPr="00C42B87">
        <w:rPr>
          <w:sz w:val="22"/>
          <w:szCs w:val="22"/>
        </w:rPr>
        <w:t>Bulben</w:t>
      </w:r>
      <w:proofErr w:type="spellEnd"/>
      <w:r w:rsidRPr="00C42B87">
        <w:rPr>
          <w:sz w:val="22"/>
          <w:szCs w:val="22"/>
        </w:rPr>
        <w:t>”</w:t>
      </w:r>
    </w:p>
    <w:p w:rsidR="006B42BD" w:rsidRPr="00C42B87" w:rsidRDefault="006B42BD" w:rsidP="006B42BD">
      <w:pPr>
        <w:ind w:left="720" w:hanging="720"/>
        <w:rPr>
          <w:sz w:val="22"/>
          <w:szCs w:val="22"/>
        </w:rPr>
      </w:pPr>
      <w:r>
        <w:rPr>
          <w:sz w:val="22"/>
          <w:szCs w:val="22"/>
        </w:rPr>
        <w:t>W. H. Auden: “Lullaby,” “Spain,” “</w:t>
      </w:r>
      <w:proofErr w:type="spellStart"/>
      <w:r>
        <w:rPr>
          <w:sz w:val="22"/>
          <w:szCs w:val="22"/>
        </w:rPr>
        <w:t>Musee</w:t>
      </w:r>
      <w:proofErr w:type="spellEnd"/>
      <w:r>
        <w:rPr>
          <w:sz w:val="22"/>
          <w:szCs w:val="22"/>
        </w:rPr>
        <w:t xml:space="preserve"> des Beaux Arts,” “In Memory of W. B. Yeats,” “In Praise of Limestone,” “The Shield of Achilles”</w:t>
      </w:r>
    </w:p>
    <w:p w:rsidR="006B42BD" w:rsidRPr="00C42B87" w:rsidRDefault="006B42BD" w:rsidP="006B42BD">
      <w:pPr>
        <w:rPr>
          <w:i/>
          <w:sz w:val="22"/>
          <w:szCs w:val="22"/>
        </w:rPr>
      </w:pPr>
      <w:r w:rsidRPr="00C42B87">
        <w:rPr>
          <w:sz w:val="22"/>
          <w:szCs w:val="22"/>
        </w:rPr>
        <w:t>Seamus Heaney:  “Digging,” “Punishment,”  “The Strand at Lough Beg,” “Station Island”</w:t>
      </w:r>
    </w:p>
    <w:p w:rsidR="006B42BD" w:rsidRPr="00C42B87" w:rsidRDefault="006B42BD" w:rsidP="006B42BD">
      <w:pPr>
        <w:rPr>
          <w:sz w:val="22"/>
          <w:szCs w:val="22"/>
        </w:rPr>
      </w:pPr>
      <w:r w:rsidRPr="00C42B87">
        <w:rPr>
          <w:sz w:val="22"/>
          <w:szCs w:val="22"/>
        </w:rPr>
        <w:t>Derek Walcott: “A Far Cry from Africa,” “</w:t>
      </w:r>
      <w:proofErr w:type="spellStart"/>
      <w:r w:rsidRPr="00C42B87">
        <w:rPr>
          <w:sz w:val="22"/>
          <w:szCs w:val="22"/>
        </w:rPr>
        <w:t>Laventille</w:t>
      </w:r>
      <w:proofErr w:type="spellEnd"/>
      <w:r w:rsidRPr="00C42B87">
        <w:rPr>
          <w:sz w:val="22"/>
          <w:szCs w:val="22"/>
        </w:rPr>
        <w:t>,” “Ruins of a Great House,”</w:t>
      </w:r>
    </w:p>
    <w:p w:rsidR="006B42BD" w:rsidRPr="00A86B7E" w:rsidRDefault="006B42BD" w:rsidP="00A86B7E">
      <w:pPr>
        <w:ind w:firstLine="720"/>
        <w:rPr>
          <w:sz w:val="22"/>
          <w:szCs w:val="22"/>
        </w:rPr>
      </w:pPr>
      <w:r w:rsidRPr="00C42B87">
        <w:rPr>
          <w:sz w:val="22"/>
          <w:szCs w:val="22"/>
        </w:rPr>
        <w:t xml:space="preserve"> “North and South,” “The Fortunate </w:t>
      </w:r>
      <w:proofErr w:type="spellStart"/>
      <w:r w:rsidRPr="00C42B87">
        <w:rPr>
          <w:sz w:val="22"/>
          <w:szCs w:val="22"/>
        </w:rPr>
        <w:t>Traveller</w:t>
      </w:r>
      <w:proofErr w:type="spellEnd"/>
      <w:r w:rsidRPr="00C42B87">
        <w:rPr>
          <w:sz w:val="22"/>
          <w:szCs w:val="22"/>
        </w:rPr>
        <w:t>”</w:t>
      </w:r>
    </w:p>
    <w:p w:rsidR="006B42BD" w:rsidRDefault="006B42BD" w:rsidP="006B42BD">
      <w:pPr>
        <w:rPr>
          <w:sz w:val="22"/>
          <w:szCs w:val="22"/>
        </w:rPr>
      </w:pPr>
      <w:r w:rsidRPr="00C42B87">
        <w:rPr>
          <w:sz w:val="22"/>
          <w:szCs w:val="22"/>
        </w:rPr>
        <w:t xml:space="preserve">Joseph Conrad:  </w:t>
      </w:r>
      <w:r w:rsidRPr="00C42B87">
        <w:rPr>
          <w:i/>
          <w:sz w:val="22"/>
          <w:szCs w:val="22"/>
        </w:rPr>
        <w:t>Heart of Darkness</w:t>
      </w:r>
    </w:p>
    <w:p w:rsidR="00DE0B7A" w:rsidRDefault="00DE0B7A" w:rsidP="00DE0B7A">
      <w:pPr>
        <w:rPr>
          <w:i/>
          <w:sz w:val="22"/>
          <w:szCs w:val="22"/>
        </w:rPr>
      </w:pPr>
      <w:proofErr w:type="spellStart"/>
      <w:r w:rsidRPr="00C42B87">
        <w:rPr>
          <w:sz w:val="22"/>
          <w:szCs w:val="22"/>
        </w:rPr>
        <w:t>Caryl</w:t>
      </w:r>
      <w:proofErr w:type="spellEnd"/>
      <w:r w:rsidRPr="00C42B87">
        <w:rPr>
          <w:sz w:val="22"/>
          <w:szCs w:val="22"/>
        </w:rPr>
        <w:t xml:space="preserve"> Churchill: </w:t>
      </w:r>
      <w:r w:rsidRPr="00C42B87">
        <w:rPr>
          <w:i/>
          <w:sz w:val="22"/>
          <w:szCs w:val="22"/>
        </w:rPr>
        <w:t>Top Girls</w:t>
      </w:r>
    </w:p>
    <w:p w:rsidR="00A86B7E" w:rsidRPr="00A86B7E" w:rsidRDefault="00A86B7E" w:rsidP="00DE0B7A">
      <w:pPr>
        <w:rPr>
          <w:sz w:val="22"/>
          <w:szCs w:val="22"/>
        </w:rPr>
      </w:pPr>
      <w:r>
        <w:rPr>
          <w:sz w:val="22"/>
          <w:szCs w:val="22"/>
        </w:rPr>
        <w:t xml:space="preserve">Virginia Woolf: </w:t>
      </w:r>
      <w:r w:rsidRPr="00A86B7E">
        <w:rPr>
          <w:i/>
          <w:sz w:val="22"/>
          <w:szCs w:val="22"/>
        </w:rPr>
        <w:t>Mrs. Dalloway</w:t>
      </w:r>
    </w:p>
    <w:p w:rsidR="00DE0B7A" w:rsidRDefault="00DE0B7A" w:rsidP="00DE0B7A">
      <w:pPr>
        <w:rPr>
          <w:i/>
          <w:sz w:val="22"/>
          <w:szCs w:val="22"/>
        </w:rPr>
      </w:pPr>
    </w:p>
    <w:p w:rsidR="00DE0B7A" w:rsidRDefault="00DE0B7A" w:rsidP="00DE0B7A">
      <w:pPr>
        <w:rPr>
          <w:i/>
          <w:sz w:val="22"/>
          <w:szCs w:val="22"/>
        </w:rPr>
      </w:pPr>
    </w:p>
    <w:p w:rsidR="008429E2" w:rsidRDefault="008429E2" w:rsidP="00DE0B7A">
      <w:pPr>
        <w:pStyle w:val="MediumGrid21"/>
        <w:jc w:val="center"/>
        <w:rPr>
          <w:b/>
          <w:i/>
          <w:sz w:val="22"/>
        </w:rPr>
      </w:pPr>
    </w:p>
    <w:p w:rsidR="008429E2" w:rsidRDefault="008429E2" w:rsidP="00DE0B7A">
      <w:pPr>
        <w:pStyle w:val="MediumGrid21"/>
        <w:jc w:val="center"/>
        <w:rPr>
          <w:b/>
          <w:i/>
          <w:sz w:val="22"/>
        </w:rPr>
      </w:pPr>
    </w:p>
    <w:p w:rsidR="008429E2" w:rsidRDefault="008429E2" w:rsidP="00DE0B7A">
      <w:pPr>
        <w:pStyle w:val="MediumGrid21"/>
        <w:jc w:val="center"/>
        <w:rPr>
          <w:b/>
          <w:i/>
          <w:sz w:val="22"/>
        </w:rPr>
      </w:pPr>
    </w:p>
    <w:p w:rsidR="008429E2" w:rsidRDefault="008429E2" w:rsidP="00DE0B7A">
      <w:pPr>
        <w:pStyle w:val="MediumGrid21"/>
        <w:jc w:val="center"/>
        <w:rPr>
          <w:b/>
          <w:i/>
          <w:sz w:val="22"/>
        </w:rPr>
      </w:pPr>
    </w:p>
    <w:p w:rsidR="00DE0B7A" w:rsidRPr="00103E3C" w:rsidRDefault="00DE0B7A" w:rsidP="00DE0B7A">
      <w:pPr>
        <w:pStyle w:val="MediumGrid21"/>
        <w:jc w:val="center"/>
        <w:rPr>
          <w:b/>
          <w:i/>
          <w:sz w:val="22"/>
        </w:rPr>
      </w:pPr>
      <w:r w:rsidRPr="00103E3C">
        <w:rPr>
          <w:b/>
          <w:i/>
          <w:sz w:val="22"/>
        </w:rPr>
        <w:lastRenderedPageBreak/>
        <w:t>American Literature Prior to 1860</w:t>
      </w:r>
    </w:p>
    <w:p w:rsidR="00DE0B7A" w:rsidRPr="00103E3C" w:rsidRDefault="00DE0B7A" w:rsidP="00DE0B7A">
      <w:pPr>
        <w:pStyle w:val="MediumGrid21"/>
        <w:rPr>
          <w:sz w:val="22"/>
        </w:rPr>
      </w:pPr>
    </w:p>
    <w:p w:rsidR="008429E2" w:rsidRDefault="008429E2" w:rsidP="008429E2">
      <w:pPr>
        <w:pStyle w:val="MediumGrid21"/>
        <w:rPr>
          <w:sz w:val="22"/>
        </w:rPr>
      </w:pPr>
      <w:r w:rsidRPr="00103E3C">
        <w:rPr>
          <w:sz w:val="22"/>
        </w:rPr>
        <w:t xml:space="preserve">Jonathan Edwards: “Personal Narrative,” “A Divine and Supernatural Light,” “Sinners in the Hands of </w:t>
      </w:r>
    </w:p>
    <w:p w:rsidR="008429E2" w:rsidRDefault="008429E2" w:rsidP="008429E2">
      <w:pPr>
        <w:pStyle w:val="MediumGrid21"/>
        <w:ind w:firstLine="720"/>
        <w:rPr>
          <w:sz w:val="22"/>
        </w:rPr>
      </w:pPr>
      <w:proofErr w:type="gramStart"/>
      <w:r w:rsidRPr="00103E3C">
        <w:rPr>
          <w:sz w:val="22"/>
        </w:rPr>
        <w:t>an</w:t>
      </w:r>
      <w:proofErr w:type="gramEnd"/>
      <w:r w:rsidRPr="00103E3C">
        <w:rPr>
          <w:sz w:val="22"/>
        </w:rPr>
        <w:t xml:space="preserve"> Angry God”</w:t>
      </w:r>
    </w:p>
    <w:p w:rsidR="008429E2" w:rsidRDefault="008429E2" w:rsidP="008429E2">
      <w:pPr>
        <w:pStyle w:val="MediumGrid21"/>
        <w:rPr>
          <w:sz w:val="22"/>
        </w:rPr>
      </w:pPr>
      <w:r w:rsidRPr="00103E3C">
        <w:rPr>
          <w:sz w:val="22"/>
        </w:rPr>
        <w:t xml:space="preserve">Benjamin Franklin: </w:t>
      </w:r>
      <w:r w:rsidRPr="00103E3C">
        <w:rPr>
          <w:i/>
          <w:iCs/>
          <w:sz w:val="22"/>
        </w:rPr>
        <w:t>Autobiography</w:t>
      </w:r>
      <w:r w:rsidRPr="00103E3C">
        <w:rPr>
          <w:sz w:val="22"/>
        </w:rPr>
        <w:t xml:space="preserve">, Books I &amp; II </w:t>
      </w:r>
    </w:p>
    <w:p w:rsidR="008429E2" w:rsidRPr="00103E3C" w:rsidRDefault="008429E2" w:rsidP="008429E2">
      <w:pPr>
        <w:pStyle w:val="MediumGrid21"/>
        <w:rPr>
          <w:sz w:val="22"/>
        </w:rPr>
      </w:pPr>
      <w:r w:rsidRPr="00103E3C">
        <w:rPr>
          <w:sz w:val="22"/>
        </w:rPr>
        <w:t xml:space="preserve">Ralph Waldo Emerson: “The American Scholar,” “The Divinity School Address,” </w:t>
      </w:r>
      <w:r w:rsidRPr="00103E3C">
        <w:rPr>
          <w:i/>
          <w:sz w:val="22"/>
        </w:rPr>
        <w:t>Nature</w:t>
      </w:r>
    </w:p>
    <w:p w:rsidR="008429E2" w:rsidRDefault="00DE0B7A" w:rsidP="008429E2">
      <w:pPr>
        <w:pStyle w:val="MediumGrid21"/>
        <w:rPr>
          <w:sz w:val="22"/>
        </w:rPr>
      </w:pPr>
      <w:r w:rsidRPr="00103E3C">
        <w:rPr>
          <w:sz w:val="22"/>
        </w:rPr>
        <w:t>Phillis Wheatley: “On Being Brought from Africa to Americ</w:t>
      </w:r>
      <w:r w:rsidR="008429E2">
        <w:rPr>
          <w:sz w:val="22"/>
        </w:rPr>
        <w:t xml:space="preserve">a,” “To His Excellency General </w:t>
      </w:r>
    </w:p>
    <w:p w:rsidR="008429E2" w:rsidRDefault="00DE0B7A" w:rsidP="008429E2">
      <w:pPr>
        <w:pStyle w:val="MediumGrid21"/>
        <w:ind w:firstLine="720"/>
        <w:rPr>
          <w:sz w:val="22"/>
        </w:rPr>
      </w:pPr>
      <w:r w:rsidRPr="00103E3C">
        <w:rPr>
          <w:sz w:val="22"/>
        </w:rPr>
        <w:t xml:space="preserve">Washington,” “To the University of Cambridge, in New England,” “To the Right </w:t>
      </w:r>
    </w:p>
    <w:p w:rsidR="008429E2" w:rsidRDefault="00DE0B7A" w:rsidP="008429E2">
      <w:pPr>
        <w:pStyle w:val="MediumGrid21"/>
        <w:ind w:firstLine="720"/>
        <w:rPr>
          <w:sz w:val="22"/>
        </w:rPr>
      </w:pPr>
      <w:proofErr w:type="spellStart"/>
      <w:r w:rsidRPr="00103E3C">
        <w:rPr>
          <w:sz w:val="22"/>
        </w:rPr>
        <w:t>Honourable</w:t>
      </w:r>
      <w:proofErr w:type="spellEnd"/>
      <w:r w:rsidRPr="00103E3C">
        <w:rPr>
          <w:sz w:val="22"/>
        </w:rPr>
        <w:t xml:space="preserve"> William, Earl of Dartmouth,” “On the Death of the Rev. Mr. George</w:t>
      </w:r>
      <w:r w:rsidR="008429E2">
        <w:rPr>
          <w:sz w:val="22"/>
        </w:rPr>
        <w:t xml:space="preserve"> </w:t>
      </w:r>
    </w:p>
    <w:p w:rsidR="00DE0B7A" w:rsidRPr="00103E3C" w:rsidRDefault="00DE0B7A" w:rsidP="008429E2">
      <w:pPr>
        <w:pStyle w:val="MediumGrid21"/>
        <w:ind w:firstLine="720"/>
        <w:rPr>
          <w:sz w:val="22"/>
        </w:rPr>
      </w:pPr>
      <w:r w:rsidRPr="00103E3C">
        <w:rPr>
          <w:sz w:val="22"/>
        </w:rPr>
        <w:t>Whitefield</w:t>
      </w:r>
      <w:r>
        <w:rPr>
          <w:sz w:val="22"/>
        </w:rPr>
        <w:t>,</w:t>
      </w:r>
      <w:r w:rsidRPr="00103E3C">
        <w:rPr>
          <w:sz w:val="22"/>
        </w:rPr>
        <w:t>”</w:t>
      </w:r>
      <w:r>
        <w:rPr>
          <w:sz w:val="22"/>
        </w:rPr>
        <w:t xml:space="preserve"> </w:t>
      </w:r>
      <w:r w:rsidRPr="00103E3C">
        <w:rPr>
          <w:sz w:val="22"/>
        </w:rPr>
        <w:t>Letter to Rev. Sa</w:t>
      </w:r>
      <w:r>
        <w:rPr>
          <w:sz w:val="22"/>
        </w:rPr>
        <w:t xml:space="preserve">mson </w:t>
      </w:r>
      <w:proofErr w:type="spellStart"/>
      <w:r>
        <w:rPr>
          <w:sz w:val="22"/>
        </w:rPr>
        <w:t>Occom</w:t>
      </w:r>
      <w:proofErr w:type="spellEnd"/>
      <w:r>
        <w:rPr>
          <w:sz w:val="22"/>
        </w:rPr>
        <w:t xml:space="preserve"> (Feb. 11, 1774)</w:t>
      </w:r>
    </w:p>
    <w:p w:rsidR="00DE0B7A" w:rsidRDefault="00DE0B7A" w:rsidP="00DE0B7A">
      <w:pPr>
        <w:pStyle w:val="MediumGrid21"/>
        <w:rPr>
          <w:i/>
          <w:iCs/>
          <w:sz w:val="22"/>
        </w:rPr>
      </w:pPr>
      <w:r w:rsidRPr="00103E3C">
        <w:rPr>
          <w:sz w:val="22"/>
        </w:rPr>
        <w:t xml:space="preserve">Frederick Douglass: </w:t>
      </w:r>
      <w:r w:rsidRPr="00103E3C">
        <w:rPr>
          <w:i/>
          <w:iCs/>
          <w:sz w:val="22"/>
        </w:rPr>
        <w:t>Narrative of the Life of Frederick Douglass, an American Slave</w:t>
      </w:r>
    </w:p>
    <w:p w:rsidR="008429E2" w:rsidRDefault="008429E2" w:rsidP="00902E84">
      <w:pPr>
        <w:pStyle w:val="MediumGrid21"/>
        <w:jc w:val="center"/>
        <w:rPr>
          <w:b/>
          <w:i/>
          <w:sz w:val="22"/>
        </w:rPr>
      </w:pPr>
    </w:p>
    <w:p w:rsidR="00902E84" w:rsidRDefault="00902E84" w:rsidP="00902E84">
      <w:pPr>
        <w:pStyle w:val="MediumGrid21"/>
        <w:jc w:val="center"/>
        <w:rPr>
          <w:b/>
          <w:i/>
          <w:sz w:val="22"/>
        </w:rPr>
      </w:pPr>
      <w:r>
        <w:rPr>
          <w:b/>
          <w:i/>
          <w:sz w:val="22"/>
        </w:rPr>
        <w:t xml:space="preserve">American Literature </w:t>
      </w:r>
      <w:r w:rsidRPr="006A2063">
        <w:rPr>
          <w:b/>
          <w:i/>
          <w:sz w:val="22"/>
        </w:rPr>
        <w:t>1860 to Present</w:t>
      </w:r>
    </w:p>
    <w:p w:rsidR="00902E84" w:rsidRPr="006A2063" w:rsidRDefault="00902E84" w:rsidP="00902E84">
      <w:pPr>
        <w:pStyle w:val="MediumGrid21"/>
        <w:jc w:val="center"/>
        <w:rPr>
          <w:b/>
          <w:i/>
          <w:sz w:val="22"/>
        </w:rPr>
      </w:pPr>
    </w:p>
    <w:p w:rsidR="00902E84" w:rsidRDefault="008429E2" w:rsidP="00902E84">
      <w:pPr>
        <w:pStyle w:val="MediumGrid21"/>
        <w:rPr>
          <w:color w:val="000000"/>
          <w:sz w:val="22"/>
        </w:rPr>
      </w:pPr>
      <w:r>
        <w:rPr>
          <w:color w:val="000000"/>
          <w:sz w:val="22"/>
        </w:rPr>
        <w:t xml:space="preserve">Sarah </w:t>
      </w:r>
      <w:proofErr w:type="spellStart"/>
      <w:r>
        <w:rPr>
          <w:color w:val="000000"/>
          <w:sz w:val="22"/>
        </w:rPr>
        <w:t>Orne</w:t>
      </w:r>
      <w:proofErr w:type="spellEnd"/>
      <w:r>
        <w:rPr>
          <w:color w:val="000000"/>
          <w:sz w:val="22"/>
        </w:rPr>
        <w:t xml:space="preserve"> Jewett: “A White Heron”</w:t>
      </w:r>
    </w:p>
    <w:p w:rsidR="008429E2" w:rsidRPr="006A2063" w:rsidRDefault="008429E2" w:rsidP="008429E2">
      <w:pPr>
        <w:pStyle w:val="MediumGrid21"/>
        <w:rPr>
          <w:sz w:val="22"/>
        </w:rPr>
      </w:pPr>
      <w:r w:rsidRPr="006A2063">
        <w:rPr>
          <w:color w:val="000000"/>
          <w:sz w:val="22"/>
        </w:rPr>
        <w:t>Mary E. Wilkins Freeman: “A New England Nun,” “The Revolt of Mother”</w:t>
      </w:r>
    </w:p>
    <w:p w:rsidR="00902E84" w:rsidRDefault="00902E84" w:rsidP="00902E84">
      <w:pPr>
        <w:pStyle w:val="MediumGrid21"/>
        <w:rPr>
          <w:color w:val="000000"/>
          <w:sz w:val="22"/>
        </w:rPr>
      </w:pPr>
      <w:r w:rsidRPr="006A2063">
        <w:rPr>
          <w:color w:val="000000"/>
          <w:sz w:val="22"/>
        </w:rPr>
        <w:t>Charlotte Perkins Gilman: “The Yellow Wallpaper,” “If I Were a Man”</w:t>
      </w:r>
    </w:p>
    <w:p w:rsidR="008429E2" w:rsidRPr="006A2063" w:rsidRDefault="008429E2" w:rsidP="00902E84">
      <w:pPr>
        <w:pStyle w:val="MediumGrid21"/>
        <w:rPr>
          <w:sz w:val="22"/>
        </w:rPr>
      </w:pPr>
      <w:r>
        <w:rPr>
          <w:color w:val="000000"/>
          <w:sz w:val="22"/>
        </w:rPr>
        <w:t>Stephen Crane, “The Blue Hotel”</w:t>
      </w:r>
    </w:p>
    <w:p w:rsidR="00902E84" w:rsidRPr="006A2063" w:rsidRDefault="00902E84" w:rsidP="00902E84">
      <w:pPr>
        <w:pStyle w:val="MediumGrid21"/>
        <w:rPr>
          <w:sz w:val="22"/>
        </w:rPr>
      </w:pPr>
      <w:r w:rsidRPr="006A2063">
        <w:rPr>
          <w:color w:val="000000"/>
          <w:sz w:val="22"/>
        </w:rPr>
        <w:t xml:space="preserve">Edith Wharton: </w:t>
      </w:r>
      <w:r w:rsidRPr="006A2063">
        <w:rPr>
          <w:i/>
          <w:color w:val="000000"/>
          <w:sz w:val="22"/>
        </w:rPr>
        <w:t>The House of Mirth</w:t>
      </w:r>
      <w:r w:rsidRPr="006A2063">
        <w:rPr>
          <w:color w:val="000000"/>
          <w:sz w:val="22"/>
        </w:rPr>
        <w:t xml:space="preserve"> </w:t>
      </w:r>
    </w:p>
    <w:p w:rsidR="00902E84" w:rsidRPr="006A2063" w:rsidRDefault="00902E84" w:rsidP="00902E84">
      <w:pPr>
        <w:pStyle w:val="MediumGrid21"/>
        <w:rPr>
          <w:sz w:val="22"/>
        </w:rPr>
      </w:pPr>
      <w:r w:rsidRPr="006A2063">
        <w:rPr>
          <w:color w:val="000000"/>
          <w:sz w:val="22"/>
        </w:rPr>
        <w:t>Robert Frost: “After Apple-Picking,” “Home Burial,” “Birches,” “Design,” “Desert Places,”</w:t>
      </w:r>
    </w:p>
    <w:p w:rsidR="00902E84" w:rsidRDefault="00902E84" w:rsidP="00902E84">
      <w:pPr>
        <w:pStyle w:val="MediumGrid21"/>
        <w:rPr>
          <w:color w:val="000000"/>
          <w:sz w:val="22"/>
        </w:rPr>
      </w:pPr>
      <w:r w:rsidRPr="006A2063">
        <w:rPr>
          <w:color w:val="000000"/>
          <w:sz w:val="22"/>
        </w:rPr>
        <w:t>            “Stopping by Woods on a Snowy Evening”</w:t>
      </w:r>
    </w:p>
    <w:p w:rsidR="008429E2" w:rsidRPr="006A2063" w:rsidRDefault="008429E2" w:rsidP="008429E2">
      <w:pPr>
        <w:pStyle w:val="MediumGrid21"/>
        <w:rPr>
          <w:sz w:val="22"/>
        </w:rPr>
      </w:pPr>
      <w:r w:rsidRPr="006A2063">
        <w:rPr>
          <w:color w:val="000000"/>
          <w:sz w:val="22"/>
        </w:rPr>
        <w:t>Wallace Stevens: “Peter Quince at the Clavier,” “Sunday Morning,” “Anecdote of the Jar,”</w:t>
      </w:r>
    </w:p>
    <w:p w:rsidR="008429E2" w:rsidRPr="006A2063" w:rsidRDefault="008429E2" w:rsidP="008429E2">
      <w:pPr>
        <w:pStyle w:val="MediumGrid21"/>
        <w:rPr>
          <w:sz w:val="22"/>
        </w:rPr>
      </w:pPr>
      <w:r w:rsidRPr="006A2063">
        <w:rPr>
          <w:color w:val="000000"/>
          <w:sz w:val="22"/>
        </w:rPr>
        <w:t>            “The Snow Man,” “A High-Toned Old Christian Woman,” “The Emperor of Ice Cream,”</w:t>
      </w:r>
    </w:p>
    <w:p w:rsidR="008429E2" w:rsidRPr="006A2063" w:rsidRDefault="008429E2" w:rsidP="008429E2">
      <w:pPr>
        <w:pStyle w:val="MediumGrid21"/>
        <w:rPr>
          <w:sz w:val="22"/>
        </w:rPr>
      </w:pPr>
      <w:r w:rsidRPr="006A2063">
        <w:rPr>
          <w:color w:val="000000"/>
          <w:sz w:val="22"/>
        </w:rPr>
        <w:t>            “The Idea of Order at Key West,” “Of Modern Poetry”</w:t>
      </w:r>
    </w:p>
    <w:p w:rsidR="00902E84" w:rsidRDefault="00902E84" w:rsidP="00902E84">
      <w:pPr>
        <w:pStyle w:val="MediumGrid21"/>
        <w:rPr>
          <w:i/>
          <w:color w:val="000000"/>
          <w:sz w:val="22"/>
        </w:rPr>
      </w:pPr>
      <w:r w:rsidRPr="006A2063">
        <w:rPr>
          <w:color w:val="000000"/>
          <w:sz w:val="22"/>
        </w:rPr>
        <w:t xml:space="preserve">Tennessee Williams: </w:t>
      </w:r>
      <w:r w:rsidRPr="006A2063">
        <w:rPr>
          <w:i/>
          <w:color w:val="000000"/>
          <w:sz w:val="22"/>
        </w:rPr>
        <w:t>A Streetcar Named Desire</w:t>
      </w:r>
    </w:p>
    <w:p w:rsidR="008429E2" w:rsidRDefault="008429E2" w:rsidP="00902E84">
      <w:pPr>
        <w:pStyle w:val="MediumGrid21"/>
        <w:rPr>
          <w:color w:val="000000"/>
          <w:sz w:val="22"/>
        </w:rPr>
      </w:pPr>
      <w:r>
        <w:rPr>
          <w:color w:val="000000"/>
          <w:sz w:val="22"/>
        </w:rPr>
        <w:t>Flannery O’Connor: “A Good Man Is Hard to Find,” “Good Country People,” “Revelation,”</w:t>
      </w:r>
    </w:p>
    <w:p w:rsidR="008429E2" w:rsidRPr="008429E2" w:rsidRDefault="008429E2" w:rsidP="008429E2">
      <w:pPr>
        <w:pStyle w:val="MediumGrid21"/>
        <w:ind w:firstLine="720"/>
        <w:rPr>
          <w:sz w:val="22"/>
        </w:rPr>
      </w:pPr>
      <w:r>
        <w:rPr>
          <w:color w:val="000000"/>
          <w:sz w:val="22"/>
        </w:rPr>
        <w:t xml:space="preserve">“Everything that Rises Must Converge, </w:t>
      </w:r>
      <w:proofErr w:type="gramStart"/>
      <w:r>
        <w:rPr>
          <w:color w:val="000000"/>
          <w:sz w:val="22"/>
        </w:rPr>
        <w:t>“ “</w:t>
      </w:r>
      <w:proofErr w:type="gramEnd"/>
      <w:r>
        <w:rPr>
          <w:color w:val="000000"/>
          <w:sz w:val="22"/>
        </w:rPr>
        <w:t>Parker’s Back”</w:t>
      </w:r>
    </w:p>
    <w:p w:rsidR="00902E84" w:rsidRDefault="00902E84" w:rsidP="00902E84">
      <w:pPr>
        <w:pStyle w:val="MediumGrid21"/>
        <w:rPr>
          <w:i/>
          <w:color w:val="000000"/>
          <w:sz w:val="22"/>
        </w:rPr>
      </w:pPr>
      <w:r w:rsidRPr="006A2063">
        <w:rPr>
          <w:color w:val="000000"/>
          <w:sz w:val="22"/>
        </w:rPr>
        <w:t xml:space="preserve">Toni Morrison: </w:t>
      </w:r>
      <w:r w:rsidRPr="006A2063">
        <w:rPr>
          <w:i/>
          <w:color w:val="000000"/>
          <w:sz w:val="22"/>
        </w:rPr>
        <w:t>The Bluest Eye</w:t>
      </w:r>
    </w:p>
    <w:p w:rsidR="008429E2" w:rsidRPr="008429E2" w:rsidRDefault="008429E2" w:rsidP="00902E84">
      <w:pPr>
        <w:pStyle w:val="MediumGrid21"/>
        <w:rPr>
          <w:sz w:val="22"/>
        </w:rPr>
      </w:pPr>
      <w:r>
        <w:rPr>
          <w:color w:val="000000"/>
          <w:sz w:val="22"/>
        </w:rPr>
        <w:t xml:space="preserve">Leslie Marmon </w:t>
      </w:r>
      <w:proofErr w:type="spellStart"/>
      <w:r>
        <w:rPr>
          <w:color w:val="000000"/>
          <w:sz w:val="22"/>
        </w:rPr>
        <w:t>Silko</w:t>
      </w:r>
      <w:proofErr w:type="spellEnd"/>
      <w:r w:rsidRPr="008429E2">
        <w:rPr>
          <w:i/>
          <w:color w:val="000000"/>
          <w:sz w:val="22"/>
        </w:rPr>
        <w:t>, Ceremony</w:t>
      </w:r>
    </w:p>
    <w:p w:rsidR="00902E84" w:rsidRDefault="00902E84" w:rsidP="00902E84">
      <w:pPr>
        <w:pStyle w:val="MediumGrid21"/>
        <w:rPr>
          <w:color w:val="000000"/>
          <w:sz w:val="22"/>
        </w:rPr>
      </w:pPr>
      <w:proofErr w:type="spellStart"/>
      <w:r w:rsidRPr="006A2063">
        <w:rPr>
          <w:color w:val="000000"/>
          <w:sz w:val="22"/>
        </w:rPr>
        <w:t>Jhumpa</w:t>
      </w:r>
      <w:proofErr w:type="spellEnd"/>
      <w:r w:rsidRPr="006A2063">
        <w:rPr>
          <w:color w:val="000000"/>
          <w:sz w:val="22"/>
        </w:rPr>
        <w:t xml:space="preserve"> </w:t>
      </w:r>
      <w:proofErr w:type="spellStart"/>
      <w:r w:rsidRPr="006A2063">
        <w:rPr>
          <w:color w:val="000000"/>
          <w:sz w:val="22"/>
        </w:rPr>
        <w:t>Lahiri</w:t>
      </w:r>
      <w:proofErr w:type="spellEnd"/>
      <w:r w:rsidRPr="006A2063">
        <w:rPr>
          <w:color w:val="000000"/>
          <w:sz w:val="22"/>
        </w:rPr>
        <w:t>: “</w:t>
      </w:r>
      <w:r w:rsidRPr="006A2063">
        <w:rPr>
          <w:iCs/>
          <w:color w:val="000000"/>
          <w:sz w:val="22"/>
        </w:rPr>
        <w:t>When</w:t>
      </w:r>
      <w:r>
        <w:rPr>
          <w:iCs/>
          <w:color w:val="000000"/>
          <w:sz w:val="22"/>
        </w:rPr>
        <w:t xml:space="preserve"> Mr. </w:t>
      </w:r>
      <w:proofErr w:type="spellStart"/>
      <w:r>
        <w:rPr>
          <w:iCs/>
          <w:color w:val="000000"/>
          <w:sz w:val="22"/>
        </w:rPr>
        <w:t>Pirzada</w:t>
      </w:r>
      <w:proofErr w:type="spellEnd"/>
      <w:r>
        <w:rPr>
          <w:iCs/>
          <w:color w:val="000000"/>
          <w:sz w:val="22"/>
        </w:rPr>
        <w:t xml:space="preserve"> Came to Dine,” </w:t>
      </w:r>
      <w:r w:rsidRPr="006A2063">
        <w:rPr>
          <w:color w:val="000000"/>
          <w:sz w:val="22"/>
        </w:rPr>
        <w:t xml:space="preserve"> “Inter</w:t>
      </w:r>
      <w:r>
        <w:rPr>
          <w:color w:val="000000"/>
          <w:sz w:val="22"/>
        </w:rPr>
        <w:t xml:space="preserve">preter of Maladies” </w:t>
      </w:r>
    </w:p>
    <w:p w:rsidR="008429E2" w:rsidRDefault="008429E2" w:rsidP="00902E84">
      <w:pPr>
        <w:pStyle w:val="MediumGrid21"/>
        <w:rPr>
          <w:color w:val="000000"/>
          <w:sz w:val="22"/>
        </w:rPr>
      </w:pPr>
      <w:r>
        <w:rPr>
          <w:color w:val="000000"/>
          <w:sz w:val="22"/>
        </w:rPr>
        <w:t xml:space="preserve">Gish Jen: “Who’s </w:t>
      </w:r>
      <w:proofErr w:type="gramStart"/>
      <w:r>
        <w:rPr>
          <w:color w:val="000000"/>
          <w:sz w:val="22"/>
        </w:rPr>
        <w:t>Irish</w:t>
      </w:r>
      <w:proofErr w:type="gramEnd"/>
      <w:r>
        <w:rPr>
          <w:color w:val="000000"/>
          <w:sz w:val="22"/>
        </w:rPr>
        <w:t>”</w:t>
      </w:r>
    </w:p>
    <w:p w:rsidR="008429E2" w:rsidRDefault="008429E2" w:rsidP="00902E84">
      <w:pPr>
        <w:pStyle w:val="MediumGrid21"/>
        <w:rPr>
          <w:color w:val="000000"/>
          <w:sz w:val="22"/>
        </w:rPr>
      </w:pPr>
      <w:r>
        <w:rPr>
          <w:color w:val="000000"/>
          <w:sz w:val="22"/>
        </w:rPr>
        <w:t xml:space="preserve">Alberto Rios: “Taking Away the Name of a Nephew,” “The Day of the </w:t>
      </w:r>
      <w:proofErr w:type="spellStart"/>
      <w:r>
        <w:rPr>
          <w:color w:val="000000"/>
          <w:sz w:val="22"/>
        </w:rPr>
        <w:t>Refugios</w:t>
      </w:r>
      <w:proofErr w:type="spellEnd"/>
      <w:r>
        <w:rPr>
          <w:color w:val="000000"/>
          <w:sz w:val="22"/>
        </w:rPr>
        <w:t>,” “Refugio’s Hair,”</w:t>
      </w:r>
    </w:p>
    <w:p w:rsidR="008429E2" w:rsidRPr="006A2063" w:rsidRDefault="008429E2" w:rsidP="008429E2">
      <w:pPr>
        <w:pStyle w:val="MediumGrid21"/>
        <w:ind w:firstLine="720"/>
        <w:rPr>
          <w:color w:val="000000"/>
          <w:sz w:val="22"/>
        </w:rPr>
      </w:pPr>
      <w:r>
        <w:rPr>
          <w:color w:val="000000"/>
          <w:sz w:val="22"/>
        </w:rPr>
        <w:t>“What We’ve Done to Each Other,” “In the Strong Hold of Her Thin Arms”</w:t>
      </w:r>
    </w:p>
    <w:p w:rsidR="00902E84" w:rsidRPr="00103E3C" w:rsidRDefault="00902E84" w:rsidP="00DE0B7A">
      <w:pPr>
        <w:pStyle w:val="MediumGrid21"/>
        <w:rPr>
          <w:i/>
          <w:iCs/>
          <w:sz w:val="22"/>
        </w:rPr>
      </w:pPr>
    </w:p>
    <w:p w:rsidR="00DE0B7A" w:rsidRDefault="00DE0B7A" w:rsidP="00DE0B7A">
      <w:pPr>
        <w:rPr>
          <w:sz w:val="22"/>
          <w:szCs w:val="22"/>
        </w:rPr>
      </w:pPr>
    </w:p>
    <w:p w:rsidR="00DE0B7A" w:rsidRPr="00CB6AF9" w:rsidRDefault="00DE0B7A" w:rsidP="0054212E">
      <w:pPr>
        <w:rPr>
          <w:sz w:val="22"/>
          <w:szCs w:val="22"/>
        </w:rPr>
      </w:pPr>
    </w:p>
    <w:p w:rsidR="0054212E" w:rsidRDefault="0054212E" w:rsidP="0054212E">
      <w:pPr>
        <w:rPr>
          <w:i/>
          <w:sz w:val="22"/>
          <w:szCs w:val="22"/>
        </w:rPr>
      </w:pPr>
    </w:p>
    <w:p w:rsidR="0054212E" w:rsidRDefault="0054212E" w:rsidP="0054212E">
      <w:pPr>
        <w:rPr>
          <w:i/>
          <w:sz w:val="22"/>
          <w:szCs w:val="22"/>
        </w:rPr>
      </w:pPr>
    </w:p>
    <w:p w:rsidR="0054212E" w:rsidRDefault="0054212E" w:rsidP="0054212E">
      <w:pPr>
        <w:rPr>
          <w:i/>
          <w:sz w:val="22"/>
          <w:szCs w:val="22"/>
        </w:rPr>
      </w:pPr>
    </w:p>
    <w:p w:rsidR="0054212E" w:rsidRPr="001D2666" w:rsidRDefault="0054212E" w:rsidP="0054212E">
      <w:pPr>
        <w:rPr>
          <w:i/>
          <w:sz w:val="22"/>
          <w:szCs w:val="22"/>
        </w:rPr>
      </w:pPr>
    </w:p>
    <w:p w:rsidR="0054212E" w:rsidRDefault="0054212E" w:rsidP="0054212E">
      <w:pPr>
        <w:rPr>
          <w:u w:val="single"/>
        </w:rPr>
      </w:pPr>
    </w:p>
    <w:p w:rsidR="0054212E" w:rsidRPr="00443346" w:rsidRDefault="0054212E" w:rsidP="00C839D3">
      <w:pPr>
        <w:rPr>
          <w:sz w:val="22"/>
          <w:szCs w:val="22"/>
        </w:rPr>
      </w:pPr>
    </w:p>
    <w:p w:rsidR="00C839D3" w:rsidRDefault="00C839D3" w:rsidP="00C839D3">
      <w:pPr>
        <w:rPr>
          <w:rFonts w:ascii="Garamond" w:hAnsi="Garamond"/>
          <w:b/>
          <w:sz w:val="24"/>
          <w:szCs w:val="24"/>
        </w:rPr>
      </w:pPr>
    </w:p>
    <w:p w:rsidR="00C839D3" w:rsidRDefault="00C839D3" w:rsidP="00C839D3">
      <w:pPr>
        <w:rPr>
          <w:rFonts w:ascii="Garamond" w:hAnsi="Garamond"/>
          <w:b/>
          <w:sz w:val="24"/>
          <w:szCs w:val="24"/>
        </w:rPr>
      </w:pPr>
    </w:p>
    <w:p w:rsidR="00C839D3" w:rsidRPr="00D1340A" w:rsidRDefault="00C839D3" w:rsidP="00C839D3">
      <w:pPr>
        <w:rPr>
          <w:sz w:val="22"/>
        </w:rPr>
      </w:pPr>
    </w:p>
    <w:p w:rsidR="00B33643" w:rsidRDefault="00B33643"/>
    <w:sectPr w:rsidR="00B336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E6A" w:rsidRDefault="00E73E6A" w:rsidP="000B0DA2">
      <w:r>
        <w:separator/>
      </w:r>
    </w:p>
  </w:endnote>
  <w:endnote w:type="continuationSeparator" w:id="0">
    <w:p w:rsidR="00E73E6A" w:rsidRDefault="00E73E6A" w:rsidP="000B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A2" w:rsidRDefault="000B0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435663"/>
      <w:docPartObj>
        <w:docPartGallery w:val="Page Numbers (Bottom of Page)"/>
        <w:docPartUnique/>
      </w:docPartObj>
    </w:sdtPr>
    <w:sdtEndPr>
      <w:rPr>
        <w:noProof/>
      </w:rPr>
    </w:sdtEndPr>
    <w:sdtContent>
      <w:p w:rsidR="000B0DA2" w:rsidRDefault="000B0DA2">
        <w:pPr>
          <w:pStyle w:val="Footer"/>
          <w:jc w:val="center"/>
        </w:pPr>
        <w:r>
          <w:fldChar w:fldCharType="begin"/>
        </w:r>
        <w:r>
          <w:instrText xml:space="preserve"> PAGE   \* MERGEFORMAT </w:instrText>
        </w:r>
        <w:r>
          <w:fldChar w:fldCharType="separate"/>
        </w:r>
        <w:r w:rsidR="00C365D3">
          <w:rPr>
            <w:noProof/>
          </w:rPr>
          <w:t>3</w:t>
        </w:r>
        <w:r>
          <w:rPr>
            <w:noProof/>
          </w:rPr>
          <w:fldChar w:fldCharType="end"/>
        </w:r>
      </w:p>
    </w:sdtContent>
  </w:sdt>
  <w:p w:rsidR="000B0DA2" w:rsidRDefault="000B0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A2" w:rsidRDefault="000B0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E6A" w:rsidRDefault="00E73E6A" w:rsidP="000B0DA2">
      <w:r>
        <w:separator/>
      </w:r>
    </w:p>
  </w:footnote>
  <w:footnote w:type="continuationSeparator" w:id="0">
    <w:p w:rsidR="00E73E6A" w:rsidRDefault="00E73E6A" w:rsidP="000B0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A2" w:rsidRDefault="000B0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A2" w:rsidRDefault="000B0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A2" w:rsidRDefault="000B0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40099"/>
    <w:multiLevelType w:val="hybridMultilevel"/>
    <w:tmpl w:val="2A46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4616A"/>
    <w:multiLevelType w:val="hybridMultilevel"/>
    <w:tmpl w:val="887E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D3"/>
    <w:rsid w:val="00004D6C"/>
    <w:rsid w:val="00067FA4"/>
    <w:rsid w:val="000B0DA2"/>
    <w:rsid w:val="000F2273"/>
    <w:rsid w:val="00297CF1"/>
    <w:rsid w:val="0054212E"/>
    <w:rsid w:val="006B42BD"/>
    <w:rsid w:val="007418FC"/>
    <w:rsid w:val="00805640"/>
    <w:rsid w:val="008429E2"/>
    <w:rsid w:val="008E1B8F"/>
    <w:rsid w:val="00902E84"/>
    <w:rsid w:val="00975544"/>
    <w:rsid w:val="00A86B7E"/>
    <w:rsid w:val="00B33643"/>
    <w:rsid w:val="00BF095F"/>
    <w:rsid w:val="00C365D3"/>
    <w:rsid w:val="00C839D3"/>
    <w:rsid w:val="00D24007"/>
    <w:rsid w:val="00DE0B7A"/>
    <w:rsid w:val="00E73E6A"/>
    <w:rsid w:val="00F308CD"/>
    <w:rsid w:val="00FE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AB2F5-AB8A-4681-94C9-83FBFD4F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D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0B7A"/>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39D3"/>
    <w:rPr>
      <w:rFonts w:cs="Times New Roman"/>
      <w:i/>
    </w:rPr>
  </w:style>
  <w:style w:type="paragraph" w:styleId="NormalWeb">
    <w:name w:val="Normal (Web)"/>
    <w:basedOn w:val="Normal"/>
    <w:uiPriority w:val="99"/>
    <w:unhideWhenUsed/>
    <w:rsid w:val="00C839D3"/>
    <w:pPr>
      <w:spacing w:before="100" w:beforeAutospacing="1" w:after="100" w:afterAutospacing="1"/>
    </w:pPr>
    <w:rPr>
      <w:sz w:val="24"/>
      <w:szCs w:val="24"/>
    </w:rPr>
  </w:style>
  <w:style w:type="character" w:customStyle="1" w:styleId="Heading1Char">
    <w:name w:val="Heading 1 Char"/>
    <w:basedOn w:val="DefaultParagraphFont"/>
    <w:link w:val="Heading1"/>
    <w:rsid w:val="00DE0B7A"/>
    <w:rPr>
      <w:rFonts w:ascii="Times New Roman" w:eastAsia="Times New Roman" w:hAnsi="Times New Roman" w:cs="Times New Roman"/>
      <w:b/>
      <w:bCs/>
      <w:sz w:val="24"/>
      <w:szCs w:val="24"/>
    </w:rPr>
  </w:style>
  <w:style w:type="paragraph" w:customStyle="1" w:styleId="MediumGrid21">
    <w:name w:val="Medium Grid 21"/>
    <w:uiPriority w:val="1"/>
    <w:qFormat/>
    <w:rsid w:val="00DE0B7A"/>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0B0DA2"/>
    <w:pPr>
      <w:tabs>
        <w:tab w:val="center" w:pos="4680"/>
        <w:tab w:val="right" w:pos="9360"/>
      </w:tabs>
    </w:pPr>
  </w:style>
  <w:style w:type="character" w:customStyle="1" w:styleId="HeaderChar">
    <w:name w:val="Header Char"/>
    <w:basedOn w:val="DefaultParagraphFont"/>
    <w:link w:val="Header"/>
    <w:uiPriority w:val="99"/>
    <w:rsid w:val="000B0D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0DA2"/>
    <w:pPr>
      <w:tabs>
        <w:tab w:val="center" w:pos="4680"/>
        <w:tab w:val="right" w:pos="9360"/>
      </w:tabs>
    </w:pPr>
  </w:style>
  <w:style w:type="character" w:customStyle="1" w:styleId="FooterChar">
    <w:name w:val="Footer Char"/>
    <w:basedOn w:val="DefaultParagraphFont"/>
    <w:link w:val="Footer"/>
    <w:uiPriority w:val="99"/>
    <w:rsid w:val="000B0DA2"/>
    <w:rPr>
      <w:rFonts w:ascii="Times New Roman" w:eastAsia="Times New Roman" w:hAnsi="Times New Roman" w:cs="Times New Roman"/>
      <w:sz w:val="20"/>
      <w:szCs w:val="20"/>
    </w:rPr>
  </w:style>
  <w:style w:type="paragraph" w:styleId="ListParagraph">
    <w:name w:val="List Paragraph"/>
    <w:basedOn w:val="Normal"/>
    <w:uiPriority w:val="34"/>
    <w:qFormat/>
    <w:rsid w:val="00004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92809-6C6E-4FCC-A1A3-303C933F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3</cp:revision>
  <dcterms:created xsi:type="dcterms:W3CDTF">2015-08-24T16:09:00Z</dcterms:created>
  <dcterms:modified xsi:type="dcterms:W3CDTF">2015-08-24T16:10:00Z</dcterms:modified>
</cp:coreProperties>
</file>