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17" w:rsidRDefault="00D35917" w:rsidP="00D35917">
      <w:pPr>
        <w:contextualSpacing/>
        <w:jc w:val="left"/>
        <w:rPr>
          <w:b/>
        </w:rPr>
      </w:pPr>
      <w:bookmarkStart w:id="0" w:name="_GoBack"/>
      <w:bookmarkEnd w:id="0"/>
      <w:r>
        <w:rPr>
          <w:b/>
        </w:rPr>
        <w:t>ENGL 4335</w:t>
      </w:r>
    </w:p>
    <w:p w:rsidR="00D35917" w:rsidRDefault="00D35917" w:rsidP="00D35917">
      <w:pPr>
        <w:contextualSpacing/>
        <w:jc w:val="left"/>
        <w:rPr>
          <w:b/>
        </w:rPr>
      </w:pPr>
      <w:r>
        <w:rPr>
          <w:b/>
        </w:rPr>
        <w:t>Senior Seminar</w:t>
      </w:r>
    </w:p>
    <w:p w:rsidR="00D35917" w:rsidRDefault="00D35917" w:rsidP="00D35917">
      <w:pPr>
        <w:contextualSpacing/>
        <w:jc w:val="left"/>
        <w:rPr>
          <w:b/>
        </w:rPr>
      </w:pPr>
      <w:r>
        <w:rPr>
          <w:b/>
        </w:rPr>
        <w:t>F</w:t>
      </w:r>
      <w:r w:rsidR="00CC0D36">
        <w:rPr>
          <w:b/>
        </w:rPr>
        <w:t>all Semester, 2015</w:t>
      </w:r>
    </w:p>
    <w:p w:rsidR="00D35917" w:rsidRDefault="00D35917" w:rsidP="00D35917">
      <w:pPr>
        <w:contextualSpacing/>
        <w:jc w:val="left"/>
        <w:rPr>
          <w:b/>
        </w:rPr>
      </w:pPr>
      <w:r>
        <w:rPr>
          <w:b/>
        </w:rPr>
        <w:t xml:space="preserve">CRN </w:t>
      </w:r>
      <w:r w:rsidR="00CC0D36">
        <w:rPr>
          <w:b/>
        </w:rPr>
        <w:t>16221</w:t>
      </w:r>
    </w:p>
    <w:p w:rsidR="00D35917" w:rsidRDefault="00D35917" w:rsidP="00D35917">
      <w:pPr>
        <w:contextualSpacing/>
        <w:jc w:val="left"/>
      </w:pPr>
      <w:r>
        <w:rPr>
          <w:b/>
        </w:rPr>
        <w:t xml:space="preserve">Richard T. </w:t>
      </w:r>
      <w:proofErr w:type="spellStart"/>
      <w:r>
        <w:rPr>
          <w:b/>
        </w:rPr>
        <w:t>Gaughan</w:t>
      </w:r>
      <w:proofErr w:type="spellEnd"/>
    </w:p>
    <w:p w:rsidR="00D35917" w:rsidRDefault="00D35917" w:rsidP="00D35917">
      <w:pPr>
        <w:contextualSpacing/>
        <w:jc w:val="left"/>
      </w:pPr>
    </w:p>
    <w:p w:rsidR="00D35917" w:rsidRDefault="00D35917" w:rsidP="00D35917">
      <w:pPr>
        <w:contextualSpacing/>
        <w:jc w:val="left"/>
      </w:pPr>
      <w:r>
        <w:t>Of course, we are all familiar with the word “tragedy.” We all know that it means “goat song,” though we may not know what goat song means. We use the word pretty commonly, but we use it to mean anything from a frustrating disappointment to mass death. We know that it is a literary genre, but there are so many different kinds of tragedies and so many different ways of treating tragic themes that our problem remains. Just what is tragedy? Well, I don’t know. Some people think that tragedy results when a culture loses a sense of wholeness, the sense it has when it is producing epics, for example. Some think it is an expression of the irreconcilable conflicts and contradiction</w:t>
      </w:r>
      <w:r w:rsidR="002147FE">
        <w:t>s</w:t>
      </w:r>
      <w:r>
        <w:t xml:space="preserve"> of human life</w:t>
      </w:r>
      <w:r w:rsidR="002147FE">
        <w:t xml:space="preserve"> (whatever they might be)</w:t>
      </w:r>
      <w:r>
        <w:t xml:space="preserve">. Some think that belief in an afterlife makes tragedy impossible. Some think </w:t>
      </w:r>
      <w:r w:rsidR="002147FE">
        <w:t>that</w:t>
      </w:r>
      <w:r>
        <w:t xml:space="preserve"> a democratic society</w:t>
      </w:r>
      <w:r w:rsidR="002147FE">
        <w:t xml:space="preserve"> cannot produce tragedy</w:t>
      </w:r>
      <w:r>
        <w:t xml:space="preserve">. James Joyce’s Stephen </w:t>
      </w:r>
      <w:proofErr w:type="spellStart"/>
      <w:r>
        <w:t>Dedalus</w:t>
      </w:r>
      <w:proofErr w:type="spellEnd"/>
      <w:r>
        <w:t xml:space="preserve"> thought that tragedy is the highest expression of true art and</w:t>
      </w:r>
      <w:r w:rsidR="002147FE">
        <w:t xml:space="preserve"> that</w:t>
      </w:r>
      <w:r>
        <w:t xml:space="preserve"> the tragic emotion, equal parts pity and terror, is the perfect response to art. As you can see, there is a lot of disagreement</w:t>
      </w:r>
      <w:r w:rsidR="002147FE">
        <w:t>, which only</w:t>
      </w:r>
      <w:r>
        <w:t xml:space="preserve"> seems right, because one thing that just about everyone agrees on is that tragedy, whatever else it is, is about conflict of some kind. </w:t>
      </w:r>
      <w:r w:rsidR="002147FE">
        <w:t xml:space="preserve">The tragic world is a world divided, a world where resolution is impossible, compromise is a ridiculous dream, and the truest truth comes to us as destruction. </w:t>
      </w:r>
      <w:r>
        <w:t xml:space="preserve"> Clearly, </w:t>
      </w:r>
      <w:r w:rsidR="002147FE">
        <w:t xml:space="preserve">tragedy gives us a </w:t>
      </w:r>
      <w:r>
        <w:t>lot to think about.</w:t>
      </w:r>
    </w:p>
    <w:p w:rsidR="00D35917" w:rsidRDefault="00D35917" w:rsidP="00D35917">
      <w:pPr>
        <w:contextualSpacing/>
        <w:jc w:val="left"/>
      </w:pPr>
    </w:p>
    <w:p w:rsidR="00D35917" w:rsidRDefault="00D35917" w:rsidP="00D35917">
      <w:pPr>
        <w:contextualSpacing/>
        <w:jc w:val="left"/>
      </w:pPr>
      <w:r>
        <w:t xml:space="preserve">To make this vast subject more manageable, we will begin by looking at </w:t>
      </w:r>
      <w:r w:rsidR="00CC0D36">
        <w:t xml:space="preserve">one of the </w:t>
      </w:r>
      <w:r>
        <w:t xml:space="preserve">two most famous theoretical statements about tragedy: Nietzsche’s </w:t>
      </w:r>
      <w:r>
        <w:rPr>
          <w:i/>
        </w:rPr>
        <w:t>The Birth of Tragedy</w:t>
      </w:r>
      <w:r>
        <w:t>.</w:t>
      </w:r>
      <w:r w:rsidR="00CC0D36">
        <w:t xml:space="preserve"> In this work, Nietzsche </w:t>
      </w:r>
      <w:r w:rsidR="00150509">
        <w:t>tries to explain tragedy in terms of the great conflict that exists in all human life between our experience of form and formlessness, dream and intoxication, as Nietzsche puts it.</w:t>
      </w:r>
      <w:r w:rsidR="00CC0D36">
        <w:t xml:space="preserve"> Attic tragedy, Nietzsche </w:t>
      </w:r>
      <w:r w:rsidR="00150509">
        <w:t>believes,</w:t>
      </w:r>
      <w:r w:rsidR="00CC0D36">
        <w:t xml:space="preserve"> achieved the greatest reconciliation of these two warring parts of life ever managed</w:t>
      </w:r>
      <w:r w:rsidR="00150509">
        <w:t>, and, therefore, for him, expresses the complete truth about human life better than any subsequent literature</w:t>
      </w:r>
      <w:r w:rsidR="00CC0D36">
        <w:t xml:space="preserve">. Next, we will read Aeschylus’ </w:t>
      </w:r>
      <w:r w:rsidR="00CC0D36">
        <w:rPr>
          <w:i/>
        </w:rPr>
        <w:t>Oresteia.</w:t>
      </w:r>
      <w:r w:rsidR="00CC0D36">
        <w:t xml:space="preserve"> Aeschylus is the oldest of the Greek tragedians and, in some </w:t>
      </w:r>
      <w:r w:rsidR="00150509">
        <w:t>respects</w:t>
      </w:r>
      <w:r w:rsidR="00CC0D36">
        <w:t xml:space="preserve">, his plays are closer to the rituals that gave birth to theater. This </w:t>
      </w:r>
      <w:r w:rsidR="00150509">
        <w:t xml:space="preserve">particular </w:t>
      </w:r>
      <w:r w:rsidR="00CC0D36">
        <w:t xml:space="preserve">trilogy considers the problem of </w:t>
      </w:r>
      <w:r w:rsidR="00E31A8D">
        <w:t>how justice can be established when there is a</w:t>
      </w:r>
      <w:r w:rsidR="00150509">
        <w:t>n unresolvable</w:t>
      </w:r>
      <w:r w:rsidR="00E31A8D">
        <w:t xml:space="preserve"> conflict of obligation. Next</w:t>
      </w:r>
      <w:r w:rsidR="00150509">
        <w:t>,</w:t>
      </w:r>
      <w:r w:rsidR="00E31A8D">
        <w:t xml:space="preserve"> we will read the other very famous treatise on tragedy: Aristotle’s </w:t>
      </w:r>
      <w:r w:rsidR="00E31A8D">
        <w:rPr>
          <w:i/>
        </w:rPr>
        <w:t>Poetics</w:t>
      </w:r>
      <w:r w:rsidR="00E31A8D">
        <w:t>.</w:t>
      </w:r>
      <w:r>
        <w:t xml:space="preserve"> Aristotle, a near contemporary of the great Greek tragedians, was trying to explain what makes tragedy distinct from all other literary forms.</w:t>
      </w:r>
      <w:r w:rsidR="00E31A8D">
        <w:t xml:space="preserve"> He has sometimes been seen as a fussy critic dictating arbitrary rules to creative geniuses, but, in fact, Aristotle was simply trying to discern the qualities that make tragedy what it is. His so-called rules were simply the</w:t>
      </w:r>
      <w:r>
        <w:t xml:space="preserve"> </w:t>
      </w:r>
      <w:r w:rsidR="00E31A8D">
        <w:t xml:space="preserve">logical consequences </w:t>
      </w:r>
      <w:r w:rsidR="00150509">
        <w:t xml:space="preserve">that follow from the nature and </w:t>
      </w:r>
      <w:r w:rsidR="00E31A8D">
        <w:t>purpose of tragedy. After Aristotle, we will return to the playwrights and</w:t>
      </w:r>
      <w:r>
        <w:t xml:space="preserve"> will look </w:t>
      </w:r>
      <w:r w:rsidR="00E31A8D">
        <w:t>at</w:t>
      </w:r>
      <w:r>
        <w:t xml:space="preserve"> Sophocles’ famous Theban trilogy in which Oedipus goes from scandalous outcast to holy figure. Then, we will </w:t>
      </w:r>
      <w:r w:rsidR="00E31A8D">
        <w:t>conclude our time with the Greeks with</w:t>
      </w:r>
      <w:r>
        <w:t xml:space="preserve"> Euripides’ </w:t>
      </w:r>
      <w:r>
        <w:rPr>
          <w:i/>
        </w:rPr>
        <w:t>The Bacchae</w:t>
      </w:r>
      <w:r>
        <w:t xml:space="preserve"> and see how this youngest of the Greek tragedians, and the one Nietzsche most blames for betraying the original inspiration of tragedy, examines the patron of tragedy, the god Dionysus.</w:t>
      </w:r>
    </w:p>
    <w:p w:rsidR="00D35917" w:rsidRDefault="00D35917" w:rsidP="00D35917">
      <w:pPr>
        <w:contextualSpacing/>
        <w:jc w:val="left"/>
      </w:pPr>
    </w:p>
    <w:p w:rsidR="00E31A8D" w:rsidRDefault="00D35917" w:rsidP="00D35917">
      <w:pPr>
        <w:contextualSpacing/>
        <w:jc w:val="left"/>
      </w:pPr>
      <w:r>
        <w:t xml:space="preserve">Once we finish with the Greeks, we will look at the way Shakespeare treated tragedy in </w:t>
      </w:r>
      <w:r>
        <w:rPr>
          <w:i/>
        </w:rPr>
        <w:t>Macbeth</w:t>
      </w:r>
      <w:r>
        <w:t xml:space="preserve">, </w:t>
      </w:r>
      <w:r>
        <w:rPr>
          <w:i/>
        </w:rPr>
        <w:t>Hamlet</w:t>
      </w:r>
      <w:r>
        <w:t xml:space="preserve">, and </w:t>
      </w:r>
      <w:r>
        <w:rPr>
          <w:i/>
        </w:rPr>
        <w:t>King Lear</w:t>
      </w:r>
      <w:r>
        <w:t xml:space="preserve">. As has been said so often, Shakespeare simply would not follow the rules the critics wanted to set down for tragedy, and yet he kept writing great ones. </w:t>
      </w:r>
      <w:r w:rsidR="00E31A8D">
        <w:t xml:space="preserve">I have to </w:t>
      </w:r>
      <w:r w:rsidR="00E31A8D">
        <w:lastRenderedPageBreak/>
        <w:t>admit that I am not an expert in Shakespeare and his time.</w:t>
      </w:r>
      <w:r w:rsidR="003E3A8C">
        <w:t xml:space="preserve"> I know that there are all kinds of important political, social, and cultural matters to consider when talking about Shakespeare, but I try to ignore them all. Instead, I see Shakespeare as a writer who helped to define the modern consciousness and, at the same time, diagnose some of its most persistent and worrisome problems. He was close enough to the great </w:t>
      </w:r>
      <w:proofErr w:type="gramStart"/>
      <w:r w:rsidR="003E3A8C">
        <w:t>Medieval</w:t>
      </w:r>
      <w:proofErr w:type="gramEnd"/>
      <w:r w:rsidR="003E3A8C">
        <w:t xml:space="preserve"> synthesis to recognize its value but was at the beginning of a new period of human life that was both exciting and terrifying. Perfect for tragedy.</w:t>
      </w:r>
    </w:p>
    <w:p w:rsidR="003E3A8C" w:rsidRDefault="003E3A8C" w:rsidP="00D35917">
      <w:pPr>
        <w:contextualSpacing/>
        <w:jc w:val="left"/>
      </w:pPr>
    </w:p>
    <w:p w:rsidR="00D35917" w:rsidRDefault="00D35917" w:rsidP="00D35917">
      <w:pPr>
        <w:contextualSpacing/>
        <w:jc w:val="left"/>
      </w:pPr>
      <w:r>
        <w:t xml:space="preserve">Finally, we will read some works from the twentieth century, a century renowned for both technical progress and death. To set things up, we will first go back in time, even further back than the Greeks, to the Book of Job. Job’s innocence, at least his relative innocence, and his inexplicable suffering strike the keynote for a century that featured persecutions, death camps (or labor camps or re-education camps), and genocide. After Job, we will read Viktor </w:t>
      </w:r>
      <w:proofErr w:type="spellStart"/>
      <w:r>
        <w:t>Frankl’s</w:t>
      </w:r>
      <w:proofErr w:type="spellEnd"/>
      <w:r>
        <w:t xml:space="preserve"> narrative of his experiences in Auschwitz and his attempts to make sense of the cruelty he witnessed and experienced. Then, we will read Kafka’s novel </w:t>
      </w:r>
      <w:r>
        <w:rPr>
          <w:i/>
        </w:rPr>
        <w:t>The Trial</w:t>
      </w:r>
      <w:r>
        <w:t xml:space="preserve">, which is about the mysterious prosecution of a man, Joseph K., who insists that there must be some kind of mistake.  To finish up, we will look at Samuel Beckett’s </w:t>
      </w:r>
      <w:r w:rsidR="003E3A8C">
        <w:rPr>
          <w:i/>
        </w:rPr>
        <w:t>Waiting for Godot</w:t>
      </w:r>
      <w:r w:rsidR="003E3A8C">
        <w:t xml:space="preserve"> and </w:t>
      </w:r>
      <w:r w:rsidR="003E3A8C">
        <w:rPr>
          <w:i/>
        </w:rPr>
        <w:t>Endgame</w:t>
      </w:r>
      <w:r>
        <w:t xml:space="preserve">, </w:t>
      </w:r>
      <w:r w:rsidR="003E3A8C">
        <w:t>two</w:t>
      </w:r>
      <w:r>
        <w:t xml:space="preserve"> play</w:t>
      </w:r>
      <w:r w:rsidR="003E3A8C">
        <w:t>s</w:t>
      </w:r>
      <w:r>
        <w:t xml:space="preserve"> seemingly ma</w:t>
      </w:r>
      <w:r w:rsidR="002147FE">
        <w:t>d</w:t>
      </w:r>
      <w:r>
        <w:t>e up of the broken pieces of a society that may no longer be capable of the consolations of tragedy, though it is still capable of suffering.</w:t>
      </w:r>
    </w:p>
    <w:p w:rsidR="00D35917" w:rsidRDefault="00D35917" w:rsidP="00D35917">
      <w:pPr>
        <w:contextualSpacing/>
        <w:jc w:val="left"/>
      </w:pPr>
    </w:p>
    <w:p w:rsidR="00D35917" w:rsidRDefault="00D35917" w:rsidP="00D35917">
      <w:pPr>
        <w:contextualSpacing/>
        <w:jc w:val="left"/>
      </w:pPr>
      <w:r>
        <w:t>There will be three essay exams: one on the Greeks, one on Shakespeare, and one on the twentieth century</w:t>
      </w:r>
      <w:r w:rsidR="002147FE">
        <w:t>;</w:t>
      </w:r>
      <w:r>
        <w:t xml:space="preserve"> and a paper. In the paper, you will try to write your own definition of tragedy based on the readings</w:t>
      </w:r>
      <w:r w:rsidR="002147FE">
        <w:t>.</w:t>
      </w:r>
      <w:r>
        <w:t xml:space="preserve"> You must also assemble a portfolio of papers you have written over the course of your time as an English major and comment on your progress. I will give you a hand-out with all the details.</w:t>
      </w:r>
    </w:p>
    <w:p w:rsidR="00D35917" w:rsidRDefault="00D35917" w:rsidP="00D35917">
      <w:pPr>
        <w:contextualSpacing/>
        <w:jc w:val="left"/>
      </w:pPr>
    </w:p>
    <w:p w:rsidR="00D35917" w:rsidRDefault="00D35917" w:rsidP="00D35917">
      <w:pPr>
        <w:contextualSpacing/>
        <w:jc w:val="left"/>
        <w:rPr>
          <w:b/>
        </w:rPr>
      </w:pPr>
      <w:r>
        <w:rPr>
          <w:b/>
        </w:rPr>
        <w:t>Reading List:</w:t>
      </w:r>
    </w:p>
    <w:p w:rsidR="00D35917" w:rsidRDefault="00D35917" w:rsidP="00D35917">
      <w:pPr>
        <w:contextualSpacing/>
        <w:jc w:val="left"/>
      </w:pPr>
      <w:r>
        <w:t xml:space="preserve">Aristotle, </w:t>
      </w:r>
      <w:r>
        <w:rPr>
          <w:i/>
        </w:rPr>
        <w:t>Poetics</w:t>
      </w:r>
    </w:p>
    <w:p w:rsidR="00D35917" w:rsidRDefault="00D35917" w:rsidP="00D35917">
      <w:pPr>
        <w:contextualSpacing/>
        <w:jc w:val="left"/>
      </w:pPr>
      <w:r>
        <w:t xml:space="preserve">Nietzsche, </w:t>
      </w:r>
      <w:proofErr w:type="gramStart"/>
      <w:r>
        <w:rPr>
          <w:i/>
        </w:rPr>
        <w:t>The</w:t>
      </w:r>
      <w:proofErr w:type="gramEnd"/>
      <w:r>
        <w:rPr>
          <w:i/>
        </w:rPr>
        <w:t xml:space="preserve"> Birth of Tragedy</w:t>
      </w:r>
    </w:p>
    <w:p w:rsidR="00D35917" w:rsidRDefault="00D35917" w:rsidP="00D35917">
      <w:pPr>
        <w:contextualSpacing/>
        <w:jc w:val="left"/>
      </w:pPr>
      <w:r>
        <w:t xml:space="preserve">Aeschylus, </w:t>
      </w:r>
      <w:proofErr w:type="gramStart"/>
      <w:r>
        <w:rPr>
          <w:i/>
        </w:rPr>
        <w:t>The</w:t>
      </w:r>
      <w:proofErr w:type="gramEnd"/>
      <w:r>
        <w:rPr>
          <w:i/>
        </w:rPr>
        <w:t xml:space="preserve"> </w:t>
      </w:r>
      <w:proofErr w:type="spellStart"/>
      <w:r>
        <w:rPr>
          <w:i/>
        </w:rPr>
        <w:t>Oreteia</w:t>
      </w:r>
      <w:proofErr w:type="spellEnd"/>
    </w:p>
    <w:p w:rsidR="00D35917" w:rsidRDefault="00D35917" w:rsidP="00D35917">
      <w:pPr>
        <w:contextualSpacing/>
        <w:jc w:val="left"/>
      </w:pPr>
      <w:r>
        <w:t xml:space="preserve">Sophocles, </w:t>
      </w:r>
      <w:r w:rsidRPr="00303BDE">
        <w:rPr>
          <w:i/>
        </w:rPr>
        <w:t>Three Theban Plays</w:t>
      </w:r>
    </w:p>
    <w:p w:rsidR="00D35917" w:rsidRDefault="00D35917" w:rsidP="00D35917">
      <w:pPr>
        <w:contextualSpacing/>
        <w:jc w:val="left"/>
      </w:pPr>
      <w:r>
        <w:t xml:space="preserve">Euripides, </w:t>
      </w:r>
      <w:proofErr w:type="gramStart"/>
      <w:r>
        <w:rPr>
          <w:i/>
        </w:rPr>
        <w:t>The</w:t>
      </w:r>
      <w:proofErr w:type="gramEnd"/>
      <w:r>
        <w:rPr>
          <w:i/>
        </w:rPr>
        <w:t xml:space="preserve"> Bacchae</w:t>
      </w:r>
    </w:p>
    <w:p w:rsidR="00D35917" w:rsidRDefault="00D35917" w:rsidP="00D35917">
      <w:pPr>
        <w:contextualSpacing/>
        <w:jc w:val="left"/>
      </w:pPr>
      <w:r>
        <w:t xml:space="preserve">Shakespeare, </w:t>
      </w:r>
      <w:r>
        <w:rPr>
          <w:i/>
        </w:rPr>
        <w:t>Macbeth</w:t>
      </w:r>
      <w:r>
        <w:t xml:space="preserve">, </w:t>
      </w:r>
      <w:r>
        <w:rPr>
          <w:i/>
        </w:rPr>
        <w:t>Hamlet</w:t>
      </w:r>
      <w:r>
        <w:t xml:space="preserve">, and </w:t>
      </w:r>
      <w:r>
        <w:rPr>
          <w:i/>
        </w:rPr>
        <w:t>King Lear</w:t>
      </w:r>
    </w:p>
    <w:p w:rsidR="00D35917" w:rsidRDefault="00D35917" w:rsidP="00D35917">
      <w:pPr>
        <w:contextualSpacing/>
        <w:jc w:val="left"/>
      </w:pPr>
      <w:r>
        <w:t xml:space="preserve">Viktor </w:t>
      </w:r>
      <w:proofErr w:type="spellStart"/>
      <w:r>
        <w:t>Frankl</w:t>
      </w:r>
      <w:proofErr w:type="spellEnd"/>
      <w:r>
        <w:t xml:space="preserve">, </w:t>
      </w:r>
      <w:r>
        <w:rPr>
          <w:i/>
        </w:rPr>
        <w:t>Man’s Search for Meaning</w:t>
      </w:r>
    </w:p>
    <w:p w:rsidR="00D35917" w:rsidRDefault="00D35917" w:rsidP="00D35917">
      <w:pPr>
        <w:contextualSpacing/>
        <w:jc w:val="left"/>
      </w:pPr>
      <w:r>
        <w:rPr>
          <w:i/>
        </w:rPr>
        <w:t>The Book of Job</w:t>
      </w:r>
      <w:r>
        <w:t>, trans. by Stephen Mitchell</w:t>
      </w:r>
    </w:p>
    <w:p w:rsidR="00D35917" w:rsidRDefault="00D35917" w:rsidP="00D35917">
      <w:pPr>
        <w:contextualSpacing/>
        <w:jc w:val="left"/>
      </w:pPr>
      <w:r>
        <w:t xml:space="preserve">Kafka, </w:t>
      </w:r>
      <w:proofErr w:type="gramStart"/>
      <w:r>
        <w:rPr>
          <w:i/>
        </w:rPr>
        <w:t>The</w:t>
      </w:r>
      <w:proofErr w:type="gramEnd"/>
      <w:r>
        <w:rPr>
          <w:i/>
        </w:rPr>
        <w:t xml:space="preserve"> Trial</w:t>
      </w:r>
    </w:p>
    <w:p w:rsidR="00D35917" w:rsidRDefault="00D35917" w:rsidP="00D35917">
      <w:pPr>
        <w:contextualSpacing/>
        <w:jc w:val="left"/>
        <w:rPr>
          <w:i/>
        </w:rPr>
      </w:pPr>
      <w:r>
        <w:t xml:space="preserve">Beckett, </w:t>
      </w:r>
      <w:r>
        <w:rPr>
          <w:i/>
        </w:rPr>
        <w:t>Endgame</w:t>
      </w:r>
      <w:r w:rsidR="003E3A8C">
        <w:t xml:space="preserve"> and</w:t>
      </w:r>
      <w:r w:rsidR="003E3A8C">
        <w:rPr>
          <w:i/>
        </w:rPr>
        <w:t xml:space="preserve"> Waiting for Godot</w:t>
      </w:r>
    </w:p>
    <w:p w:rsidR="0017552F" w:rsidRDefault="0017552F" w:rsidP="00D35917">
      <w:pPr>
        <w:contextualSpacing/>
        <w:jc w:val="left"/>
        <w:rPr>
          <w:i/>
        </w:rPr>
      </w:pPr>
    </w:p>
    <w:p w:rsidR="0017552F" w:rsidRPr="0017552F" w:rsidRDefault="0017552F" w:rsidP="00D35917">
      <w:pPr>
        <w:contextualSpacing/>
        <w:jc w:val="left"/>
      </w:pPr>
      <w:r>
        <w:t>Since this is a senior-level capstone course, I will dispense with my usual rant. All you really need to do is to treat each other and me respectfully and kindly (why not?) and not cheat. It’s simple, right? Since this is a seminar, class discussion will be very important. Of course, you have to be there to talk, so attendance is also important. I don’t really believe in “trigger warnings,” but, if you need one, I will say that the material in this course is serious, though it is not, I would contend, “depressing.” The problem of suffering, how to explain it and what to do with it, is about as old as the question of what to have for supper. There are no tidy answers, but the problem remains an unavoidable and important one.</w:t>
      </w:r>
      <w:r w:rsidR="00E24C2C">
        <w:t xml:space="preserve"> Tragedy is one of the ways people have </w:t>
      </w:r>
      <w:r w:rsidR="00E24C2C">
        <w:lastRenderedPageBreak/>
        <w:t>used to try to make peace with suffering, so we will be talking quite a bit about suffering. There, you’ve been warned.</w:t>
      </w:r>
    </w:p>
    <w:p w:rsidR="003E3A8C" w:rsidRDefault="003E3A8C" w:rsidP="00D35917">
      <w:pPr>
        <w:contextualSpacing/>
        <w:jc w:val="left"/>
      </w:pPr>
    </w:p>
    <w:p w:rsidR="0017552F" w:rsidRDefault="0017552F" w:rsidP="0017552F">
      <w:pPr>
        <w:pStyle w:val="NoSpacing"/>
        <w:rPr>
          <w:rFonts w:ascii="Times New Roman" w:eastAsia="Times New Roman" w:hAnsi="Times New Roman" w:cs="Times New Roman"/>
          <w:iCs/>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17552F" w:rsidRPr="001B4866" w:rsidRDefault="0017552F" w:rsidP="0017552F">
      <w:pPr>
        <w:pStyle w:val="NoSpacing"/>
        <w:rPr>
          <w:rFonts w:ascii="Times New Roman" w:hAnsi="Times New Roman" w:cs="Times New Roman"/>
          <w:sz w:val="24"/>
          <w:szCs w:val="24"/>
        </w:rPr>
      </w:pPr>
    </w:p>
    <w:p w:rsidR="0017552F" w:rsidRDefault="0017552F" w:rsidP="0017552F">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w:t>
      </w:r>
      <w:r>
        <w:rPr>
          <w:rFonts w:ascii="Times New Roman" w:hAnsi="Times New Roman" w:cs="Times New Roman"/>
          <w:sz w:val="24"/>
          <w:szCs w:val="24"/>
        </w:rPr>
        <w:t>ize yourself with all the policies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17552F" w:rsidRDefault="0017552F" w:rsidP="0017552F">
      <w:pPr>
        <w:pStyle w:val="NoSpacing"/>
        <w:rPr>
          <w:rFonts w:ascii="Times New Roman" w:hAnsi="Times New Roman" w:cs="Times New Roman"/>
          <w:sz w:val="24"/>
          <w:szCs w:val="24"/>
        </w:rPr>
      </w:pPr>
    </w:p>
    <w:p w:rsidR="0017552F" w:rsidRDefault="0017552F" w:rsidP="0017552F">
      <w:pPr>
        <w:jc w:val="left"/>
        <w:rPr>
          <w:rFonts w:eastAsia="Times New Roman"/>
        </w:rPr>
      </w:pPr>
      <w:r w:rsidRPr="008B787D">
        <w:rPr>
          <w:rFonts w:eastAsia="Times New Roman"/>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w:t>
      </w:r>
    </w:p>
    <w:p w:rsidR="0017552F" w:rsidRDefault="0017552F" w:rsidP="0017552F">
      <w:pPr>
        <w:spacing w:after="0"/>
        <w:jc w:val="left"/>
        <w:rPr>
          <w:rFonts w:eastAsia="Times New Roman"/>
        </w:rPr>
      </w:pPr>
      <w:r>
        <w:rPr>
          <w:rFonts w:eastAsia="Times New Roman"/>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eastAsia="Times New Roman"/>
          </w:rPr>
          <w:t>http://uca.edu/mysafety/bep/</w:t>
        </w:r>
      </w:hyperlink>
      <w:r>
        <w:rPr>
          <w:rFonts w:eastAsia="Times New Roman"/>
        </w:rPr>
        <w:t>. Every student should be familiar with emergency procedures for any campus building in which he/she spends time for classes or other purposes.</w:t>
      </w:r>
    </w:p>
    <w:p w:rsidR="0017552F" w:rsidRDefault="0017552F" w:rsidP="0017552F">
      <w:pPr>
        <w:spacing w:after="0"/>
        <w:jc w:val="left"/>
        <w:rPr>
          <w:rFonts w:eastAsia="Times New Roman"/>
        </w:rPr>
      </w:pPr>
    </w:p>
    <w:p w:rsidR="0017552F" w:rsidRPr="009B2941" w:rsidRDefault="0017552F" w:rsidP="0017552F">
      <w:pPr>
        <w:spacing w:after="0"/>
        <w:jc w:val="left"/>
        <w:rPr>
          <w:i/>
          <w:iCs/>
        </w:rPr>
      </w:pPr>
      <w:r w:rsidRPr="009B2941">
        <w:t> </w:t>
      </w:r>
      <w:r w:rsidRPr="009B2941">
        <w:rPr>
          <w:rStyle w:val="a-declarative"/>
          <w:b/>
          <w:bCs/>
        </w:rPr>
        <w:t>Title IX disclosure</w:t>
      </w:r>
      <w:r w:rsidRPr="009B2941">
        <w:rPr>
          <w:rStyle w:val="a-declarative"/>
        </w:rPr>
        <w:t xml:space="preserve">: </w:t>
      </w:r>
      <w:r w:rsidRPr="009B2941">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Pr>
          <w:t>https://uca.edu/titleix</w:t>
        </w:r>
      </w:hyperlink>
      <w:r w:rsidRPr="009B2941">
        <w:t xml:space="preserve">.  </w:t>
      </w:r>
      <w:r w:rsidRPr="009B2941">
        <w:rPr>
          <w:i/>
          <w:iCs/>
        </w:rPr>
        <w:t>*Disclosure of sexual misconduct by a third party who is not a student and/or employee is also required if the misconduct occurs when the third party is a participant in a university-sponsored program, event, or activity.</w:t>
      </w:r>
    </w:p>
    <w:p w:rsidR="0017552F" w:rsidRPr="009B2941" w:rsidRDefault="0017552F" w:rsidP="0017552F">
      <w:pPr>
        <w:spacing w:after="0"/>
        <w:jc w:val="left"/>
        <w:rPr>
          <w:i/>
          <w:iCs/>
        </w:rPr>
      </w:pPr>
    </w:p>
    <w:p w:rsidR="0017552F" w:rsidRPr="00925EE5" w:rsidRDefault="0017552F" w:rsidP="0017552F">
      <w:pPr>
        <w:spacing w:after="0"/>
        <w:jc w:val="left"/>
        <w:rPr>
          <w:rFonts w:eastAsia="Times New Roman"/>
        </w:rPr>
      </w:pPr>
      <w:r w:rsidRPr="00A0115B">
        <w:rPr>
          <w:rFonts w:eastAsia="Times New Roman"/>
        </w:rPr>
        <w:t>Evaluations (Fall &amp; Spring</w:t>
      </w:r>
      <w:proofErr w:type="gramStart"/>
      <w:r w:rsidRPr="00A0115B">
        <w:rPr>
          <w:rFonts w:eastAsia="Times New Roman"/>
        </w:rPr>
        <w:t>)</w:t>
      </w:r>
      <w:proofErr w:type="gramEnd"/>
      <w:r w:rsidRPr="00A0115B">
        <w:rPr>
          <w:rFonts w:eastAsia="Times New Roman"/>
        </w:rPr>
        <w:b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t>
      </w:r>
      <w:r w:rsidRPr="00A0115B">
        <w:rPr>
          <w:rFonts w:eastAsia="Times New Roman"/>
        </w:rPr>
        <w:lastRenderedPageBreak/>
        <w:t xml:space="preserve">week of instruction [insert date] through the end of finals week by logging in to </w:t>
      </w:r>
      <w:proofErr w:type="spellStart"/>
      <w:r w:rsidRPr="00A0115B">
        <w:rPr>
          <w:rFonts w:eastAsia="Times New Roman"/>
        </w:rPr>
        <w:t>myUCA</w:t>
      </w:r>
      <w:proofErr w:type="spellEnd"/>
      <w:r w:rsidRPr="00A0115B">
        <w:rPr>
          <w:rFonts w:eastAsia="Times New Roman"/>
        </w:rPr>
        <w:t xml:space="preserve"> and clicking on the </w:t>
      </w:r>
      <w:proofErr w:type="spellStart"/>
      <w:r w:rsidRPr="00A0115B">
        <w:rPr>
          <w:rFonts w:eastAsia="Times New Roman"/>
        </w:rPr>
        <w:t>Evals</w:t>
      </w:r>
      <w:proofErr w:type="spellEnd"/>
      <w:r w:rsidRPr="00A0115B">
        <w:rPr>
          <w:rFonts w:eastAsia="Times New Roman"/>
        </w:rPr>
        <w:t xml:space="preserve"> button on the top right.</w:t>
      </w:r>
    </w:p>
    <w:p w:rsidR="003E3A8C" w:rsidRDefault="00E24C2C" w:rsidP="0017552F">
      <w:pPr>
        <w:contextualSpacing/>
        <w:jc w:val="left"/>
        <w:rPr>
          <w:b/>
        </w:rPr>
      </w:pPr>
      <w:r>
        <w:rPr>
          <w:b/>
        </w:rPr>
        <w:t xml:space="preserve">Richard </w:t>
      </w:r>
      <w:proofErr w:type="spellStart"/>
      <w:r>
        <w:rPr>
          <w:b/>
        </w:rPr>
        <w:t>Gaughan</w:t>
      </w:r>
      <w:proofErr w:type="spellEnd"/>
    </w:p>
    <w:p w:rsidR="00E24C2C" w:rsidRDefault="00E24C2C" w:rsidP="0017552F">
      <w:pPr>
        <w:contextualSpacing/>
        <w:jc w:val="left"/>
        <w:rPr>
          <w:b/>
        </w:rPr>
      </w:pPr>
      <w:r>
        <w:rPr>
          <w:b/>
        </w:rPr>
        <w:t>Office: 410 Irby Hall</w:t>
      </w:r>
    </w:p>
    <w:p w:rsidR="00E24C2C" w:rsidRDefault="00E24C2C" w:rsidP="0017552F">
      <w:pPr>
        <w:contextualSpacing/>
        <w:jc w:val="left"/>
        <w:rPr>
          <w:b/>
        </w:rPr>
      </w:pPr>
      <w:r>
        <w:rPr>
          <w:b/>
        </w:rPr>
        <w:t>Office Phone: 450-5128</w:t>
      </w:r>
    </w:p>
    <w:p w:rsidR="00E24C2C" w:rsidRDefault="00E24C2C" w:rsidP="0017552F">
      <w:pPr>
        <w:contextualSpacing/>
        <w:jc w:val="left"/>
        <w:rPr>
          <w:b/>
        </w:rPr>
      </w:pPr>
      <w:r>
        <w:rPr>
          <w:b/>
        </w:rPr>
        <w:t xml:space="preserve">E-mail address: </w:t>
      </w:r>
      <w:hyperlink r:id="rId6" w:history="1">
        <w:r w:rsidRPr="00C83779">
          <w:rPr>
            <w:rStyle w:val="Hyperlink"/>
            <w:b/>
          </w:rPr>
          <w:t>gaughanr@uca.edu</w:t>
        </w:r>
      </w:hyperlink>
    </w:p>
    <w:p w:rsidR="00E24C2C" w:rsidRPr="00E24C2C" w:rsidRDefault="00E24C2C" w:rsidP="0017552F">
      <w:pPr>
        <w:contextualSpacing/>
        <w:jc w:val="left"/>
        <w:rPr>
          <w:b/>
        </w:rPr>
      </w:pPr>
      <w:r>
        <w:rPr>
          <w:b/>
        </w:rPr>
        <w:t xml:space="preserve">Office Hours: MWF 11-1; </w:t>
      </w:r>
      <w:proofErr w:type="spellStart"/>
      <w:r>
        <w:rPr>
          <w:b/>
        </w:rPr>
        <w:t>TTh</w:t>
      </w:r>
      <w:proofErr w:type="spellEnd"/>
      <w:r>
        <w:rPr>
          <w:b/>
        </w:rPr>
        <w:t xml:space="preserve"> 11-12 and 1:30-2:30, and by appointment</w:t>
      </w:r>
    </w:p>
    <w:sectPr w:rsidR="00E24C2C" w:rsidRPr="00E24C2C" w:rsidSect="0070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17"/>
    <w:rsid w:val="00150509"/>
    <w:rsid w:val="0017552F"/>
    <w:rsid w:val="002147FE"/>
    <w:rsid w:val="002C7CE9"/>
    <w:rsid w:val="002D1293"/>
    <w:rsid w:val="003E3A8C"/>
    <w:rsid w:val="00464607"/>
    <w:rsid w:val="0070001E"/>
    <w:rsid w:val="00707E85"/>
    <w:rsid w:val="007244A7"/>
    <w:rsid w:val="00734781"/>
    <w:rsid w:val="009713FD"/>
    <w:rsid w:val="00CC0D36"/>
    <w:rsid w:val="00D35917"/>
    <w:rsid w:val="00E24BEA"/>
    <w:rsid w:val="00E24C2C"/>
    <w:rsid w:val="00E31A8D"/>
    <w:rsid w:val="00E7316C"/>
    <w:rsid w:val="00F4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F6397-98B3-43D1-960B-0B7F0D1D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52F"/>
    <w:pPr>
      <w:spacing w:before="0" w:beforeAutospacing="0" w:after="0" w:afterAutospacing="0"/>
      <w:jc w:val="left"/>
    </w:pPr>
    <w:rPr>
      <w:rFonts w:asciiTheme="minorHAnsi" w:hAnsiTheme="minorHAnsi" w:cstheme="minorBidi"/>
      <w:sz w:val="22"/>
      <w:szCs w:val="22"/>
    </w:rPr>
  </w:style>
  <w:style w:type="character" w:styleId="Hyperlink">
    <w:name w:val="Hyperlink"/>
    <w:basedOn w:val="DefaultParagraphFont"/>
    <w:uiPriority w:val="99"/>
    <w:unhideWhenUsed/>
    <w:rsid w:val="0017552F"/>
    <w:rPr>
      <w:color w:val="0000FF" w:themeColor="hyperlink"/>
      <w:u w:val="single"/>
    </w:rPr>
  </w:style>
  <w:style w:type="character" w:customStyle="1" w:styleId="a-declarative">
    <w:name w:val="a-declarative"/>
    <w:basedOn w:val="DefaultParagraphFont"/>
    <w:rsid w:val="0017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r@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2015-08-18T18:24:00Z</cp:lastPrinted>
  <dcterms:created xsi:type="dcterms:W3CDTF">2015-08-19T13:02:00Z</dcterms:created>
  <dcterms:modified xsi:type="dcterms:W3CDTF">2015-08-19T13:02:00Z</dcterms:modified>
</cp:coreProperties>
</file>