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4C4" w:rsidRPr="00F1037B" w:rsidRDefault="009529E4" w:rsidP="009529E4">
      <w:pPr>
        <w:jc w:val="center"/>
        <w:rPr>
          <w:b/>
          <w:sz w:val="24"/>
        </w:rPr>
      </w:pPr>
      <w:r w:rsidRPr="00F1037B">
        <w:rPr>
          <w:b/>
          <w:sz w:val="24"/>
        </w:rPr>
        <w:t>Comparison of UCA Praxis Exam Results Compared to State and National Averages</w:t>
      </w:r>
    </w:p>
    <w:p w:rsidR="009529E4" w:rsidRDefault="009529E4"/>
    <w:p w:rsidR="009529E4" w:rsidRDefault="00540DE8">
      <w:r>
        <w:rPr>
          <w:noProof/>
        </w:rPr>
        <w:drawing>
          <wp:inline distT="0" distB="0" distL="0" distR="0" wp14:anchorId="0ADE6734" wp14:editId="6B7B0E48">
            <wp:extent cx="5524500" cy="30480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284BBC" w:rsidRDefault="00284BBC"/>
    <w:p w:rsidR="00284BBC" w:rsidRDefault="00540DE8">
      <w:r>
        <w:rPr>
          <w:noProof/>
        </w:rPr>
        <w:drawing>
          <wp:inline distT="0" distB="0" distL="0" distR="0" wp14:anchorId="5A2E85DB" wp14:editId="5199D60F">
            <wp:extent cx="5572125" cy="3286125"/>
            <wp:effectExtent l="0" t="0" r="9525" b="952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84BBC" w:rsidRDefault="00284BBC"/>
    <w:p w:rsidR="00284BBC" w:rsidRDefault="00540DE8">
      <w:r>
        <w:rPr>
          <w:noProof/>
        </w:rPr>
        <w:lastRenderedPageBreak/>
        <w:drawing>
          <wp:inline distT="0" distB="0" distL="0" distR="0" wp14:anchorId="2A93C067" wp14:editId="75FA6B5C">
            <wp:extent cx="6038850" cy="32766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529E4" w:rsidRDefault="009529E4"/>
    <w:p w:rsidR="00540DE8" w:rsidRDefault="00540DE8">
      <w:r>
        <w:rPr>
          <w:noProof/>
        </w:rPr>
        <w:drawing>
          <wp:inline distT="0" distB="0" distL="0" distR="0" wp14:anchorId="42B7374F" wp14:editId="7A01F23B">
            <wp:extent cx="6115050" cy="367665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40DE8" w:rsidRDefault="00540DE8"/>
    <w:p w:rsidR="00FD1D4A" w:rsidRDefault="00FD1D4A">
      <w:r>
        <w:br w:type="page"/>
      </w:r>
    </w:p>
    <w:p w:rsidR="00FD1D4A" w:rsidRPr="00F8093E" w:rsidRDefault="00F8093E" w:rsidP="00F8093E">
      <w:pPr>
        <w:jc w:val="center"/>
        <w:rPr>
          <w:b/>
          <w:sz w:val="24"/>
          <w:szCs w:val="24"/>
        </w:rPr>
      </w:pPr>
      <w:r w:rsidRPr="00F8093E">
        <w:rPr>
          <w:b/>
          <w:sz w:val="24"/>
          <w:szCs w:val="24"/>
        </w:rPr>
        <w:lastRenderedPageBreak/>
        <w:t>Novice Teacher Survey Results Compared to State and Averages</w:t>
      </w:r>
    </w:p>
    <w:p w:rsidR="00F8093E" w:rsidRDefault="00F8093E">
      <w:r>
        <w:rPr>
          <w:noProof/>
        </w:rPr>
        <w:drawing>
          <wp:inline distT="0" distB="0" distL="0" distR="0" wp14:anchorId="4664E37D" wp14:editId="7BCB9876">
            <wp:extent cx="6153150" cy="3886200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8093E" w:rsidRDefault="00F8093E">
      <w:r>
        <w:rPr>
          <w:noProof/>
        </w:rPr>
        <w:drawing>
          <wp:inline distT="0" distB="0" distL="0" distR="0" wp14:anchorId="5496837F" wp14:editId="19F4E612">
            <wp:extent cx="6134100" cy="3686175"/>
            <wp:effectExtent l="0" t="0" r="0" b="9525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8093E" w:rsidRDefault="00F8093E"/>
    <w:p w:rsidR="00F8093E" w:rsidRDefault="00F8093E">
      <w:bookmarkStart w:id="0" w:name="_GoBack"/>
      <w:r>
        <w:rPr>
          <w:noProof/>
        </w:rPr>
        <w:drawing>
          <wp:inline distT="0" distB="0" distL="0" distR="0" wp14:anchorId="70B83A77" wp14:editId="4DE4D0DA">
            <wp:extent cx="6362700" cy="4152900"/>
            <wp:effectExtent l="0" t="0" r="0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End w:id="0"/>
    </w:p>
    <w:sectPr w:rsidR="00F80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9E4"/>
    <w:rsid w:val="00000969"/>
    <w:rsid w:val="0001415B"/>
    <w:rsid w:val="0002422C"/>
    <w:rsid w:val="00065D31"/>
    <w:rsid w:val="00070440"/>
    <w:rsid w:val="000802E6"/>
    <w:rsid w:val="000914AD"/>
    <w:rsid w:val="0009698F"/>
    <w:rsid w:val="000B4A03"/>
    <w:rsid w:val="000B6ED4"/>
    <w:rsid w:val="000C1902"/>
    <w:rsid w:val="000D0E9E"/>
    <w:rsid w:val="000D4027"/>
    <w:rsid w:val="000D4A56"/>
    <w:rsid w:val="000F581D"/>
    <w:rsid w:val="000F66AF"/>
    <w:rsid w:val="00100676"/>
    <w:rsid w:val="00102D67"/>
    <w:rsid w:val="00105593"/>
    <w:rsid w:val="00110E3D"/>
    <w:rsid w:val="00110E6B"/>
    <w:rsid w:val="00116AE6"/>
    <w:rsid w:val="00122EED"/>
    <w:rsid w:val="00132498"/>
    <w:rsid w:val="0014527E"/>
    <w:rsid w:val="001506CB"/>
    <w:rsid w:val="0017211C"/>
    <w:rsid w:val="001732A6"/>
    <w:rsid w:val="00173B1C"/>
    <w:rsid w:val="001A09AB"/>
    <w:rsid w:val="001A4397"/>
    <w:rsid w:val="001B1370"/>
    <w:rsid w:val="001B7239"/>
    <w:rsid w:val="001B7EF5"/>
    <w:rsid w:val="001D014E"/>
    <w:rsid w:val="001D0DAD"/>
    <w:rsid w:val="001D1032"/>
    <w:rsid w:val="001D1CDF"/>
    <w:rsid w:val="001D476D"/>
    <w:rsid w:val="001D759C"/>
    <w:rsid w:val="001E3FE9"/>
    <w:rsid w:val="001E5CFE"/>
    <w:rsid w:val="002066A6"/>
    <w:rsid w:val="002139F2"/>
    <w:rsid w:val="00231A7E"/>
    <w:rsid w:val="00231DF5"/>
    <w:rsid w:val="00237EFF"/>
    <w:rsid w:val="0026193E"/>
    <w:rsid w:val="00261A03"/>
    <w:rsid w:val="0028282B"/>
    <w:rsid w:val="00284BBC"/>
    <w:rsid w:val="00293DCF"/>
    <w:rsid w:val="002A6E30"/>
    <w:rsid w:val="002B24D7"/>
    <w:rsid w:val="002B4250"/>
    <w:rsid w:val="002C0D1E"/>
    <w:rsid w:val="002C660A"/>
    <w:rsid w:val="002D1247"/>
    <w:rsid w:val="002D27D9"/>
    <w:rsid w:val="002D5AB5"/>
    <w:rsid w:val="002D6397"/>
    <w:rsid w:val="002D6819"/>
    <w:rsid w:val="002E4054"/>
    <w:rsid w:val="002E5AF5"/>
    <w:rsid w:val="002E6CC9"/>
    <w:rsid w:val="002F1332"/>
    <w:rsid w:val="00310371"/>
    <w:rsid w:val="003156BD"/>
    <w:rsid w:val="003212DE"/>
    <w:rsid w:val="00325B75"/>
    <w:rsid w:val="00327AD5"/>
    <w:rsid w:val="00344449"/>
    <w:rsid w:val="00344D0B"/>
    <w:rsid w:val="003453D2"/>
    <w:rsid w:val="00346909"/>
    <w:rsid w:val="003529D4"/>
    <w:rsid w:val="003545C6"/>
    <w:rsid w:val="00366260"/>
    <w:rsid w:val="00366C91"/>
    <w:rsid w:val="00372411"/>
    <w:rsid w:val="00391F2D"/>
    <w:rsid w:val="003947B2"/>
    <w:rsid w:val="00396646"/>
    <w:rsid w:val="003A179B"/>
    <w:rsid w:val="003A33E7"/>
    <w:rsid w:val="003A5FEC"/>
    <w:rsid w:val="003C18E1"/>
    <w:rsid w:val="003C56B3"/>
    <w:rsid w:val="003C60C0"/>
    <w:rsid w:val="003E6032"/>
    <w:rsid w:val="004016B6"/>
    <w:rsid w:val="0040328F"/>
    <w:rsid w:val="00403EBB"/>
    <w:rsid w:val="00410D2B"/>
    <w:rsid w:val="00411902"/>
    <w:rsid w:val="00415E94"/>
    <w:rsid w:val="00424B78"/>
    <w:rsid w:val="004371C8"/>
    <w:rsid w:val="00442835"/>
    <w:rsid w:val="00465F57"/>
    <w:rsid w:val="00481595"/>
    <w:rsid w:val="00487D0F"/>
    <w:rsid w:val="0049111C"/>
    <w:rsid w:val="004C7669"/>
    <w:rsid w:val="004C7B76"/>
    <w:rsid w:val="004F1253"/>
    <w:rsid w:val="004F4B6B"/>
    <w:rsid w:val="004F4C73"/>
    <w:rsid w:val="004F7AD5"/>
    <w:rsid w:val="00504C5C"/>
    <w:rsid w:val="00506901"/>
    <w:rsid w:val="005072E5"/>
    <w:rsid w:val="005131B0"/>
    <w:rsid w:val="005211EF"/>
    <w:rsid w:val="00536686"/>
    <w:rsid w:val="00540DE8"/>
    <w:rsid w:val="0055095F"/>
    <w:rsid w:val="00555560"/>
    <w:rsid w:val="00555B27"/>
    <w:rsid w:val="0056239D"/>
    <w:rsid w:val="00567D95"/>
    <w:rsid w:val="00573558"/>
    <w:rsid w:val="005824F1"/>
    <w:rsid w:val="005904B5"/>
    <w:rsid w:val="00593020"/>
    <w:rsid w:val="005960CC"/>
    <w:rsid w:val="005963FB"/>
    <w:rsid w:val="005B2962"/>
    <w:rsid w:val="005B3A7C"/>
    <w:rsid w:val="005B61DD"/>
    <w:rsid w:val="005C6286"/>
    <w:rsid w:val="005C7CCC"/>
    <w:rsid w:val="005D531D"/>
    <w:rsid w:val="005E0ACC"/>
    <w:rsid w:val="005E685A"/>
    <w:rsid w:val="006024D2"/>
    <w:rsid w:val="0061220E"/>
    <w:rsid w:val="006158EF"/>
    <w:rsid w:val="00616507"/>
    <w:rsid w:val="006360AC"/>
    <w:rsid w:val="00636232"/>
    <w:rsid w:val="00660713"/>
    <w:rsid w:val="00690566"/>
    <w:rsid w:val="006A4C3D"/>
    <w:rsid w:val="006B0BB8"/>
    <w:rsid w:val="006C6C2C"/>
    <w:rsid w:val="006D28B0"/>
    <w:rsid w:val="006D2B96"/>
    <w:rsid w:val="006E26CF"/>
    <w:rsid w:val="006E4EF1"/>
    <w:rsid w:val="006E53B7"/>
    <w:rsid w:val="006F1FB6"/>
    <w:rsid w:val="006F5699"/>
    <w:rsid w:val="00705D0B"/>
    <w:rsid w:val="0071473B"/>
    <w:rsid w:val="00720107"/>
    <w:rsid w:val="00720CAE"/>
    <w:rsid w:val="00720FA9"/>
    <w:rsid w:val="00732779"/>
    <w:rsid w:val="00734A21"/>
    <w:rsid w:val="00752A20"/>
    <w:rsid w:val="00763EE2"/>
    <w:rsid w:val="0078677A"/>
    <w:rsid w:val="00790D1A"/>
    <w:rsid w:val="00792206"/>
    <w:rsid w:val="007A6620"/>
    <w:rsid w:val="007A6BA0"/>
    <w:rsid w:val="007B5BD0"/>
    <w:rsid w:val="007C43A8"/>
    <w:rsid w:val="007D1A7C"/>
    <w:rsid w:val="007D5AB8"/>
    <w:rsid w:val="007D7578"/>
    <w:rsid w:val="007E0D60"/>
    <w:rsid w:val="007E6F81"/>
    <w:rsid w:val="007E795B"/>
    <w:rsid w:val="008121DC"/>
    <w:rsid w:val="008133B5"/>
    <w:rsid w:val="00825A23"/>
    <w:rsid w:val="00836684"/>
    <w:rsid w:val="00846652"/>
    <w:rsid w:val="00861227"/>
    <w:rsid w:val="0086427B"/>
    <w:rsid w:val="0087426B"/>
    <w:rsid w:val="0087559B"/>
    <w:rsid w:val="0088112D"/>
    <w:rsid w:val="00882713"/>
    <w:rsid w:val="00883C0B"/>
    <w:rsid w:val="0089581C"/>
    <w:rsid w:val="008963DB"/>
    <w:rsid w:val="008A705E"/>
    <w:rsid w:val="008B3A78"/>
    <w:rsid w:val="008C027C"/>
    <w:rsid w:val="008F6307"/>
    <w:rsid w:val="00916C16"/>
    <w:rsid w:val="0092344B"/>
    <w:rsid w:val="00923982"/>
    <w:rsid w:val="0093049B"/>
    <w:rsid w:val="00934E27"/>
    <w:rsid w:val="00935492"/>
    <w:rsid w:val="00943EEA"/>
    <w:rsid w:val="00944B3A"/>
    <w:rsid w:val="009529E4"/>
    <w:rsid w:val="009814EA"/>
    <w:rsid w:val="00986753"/>
    <w:rsid w:val="009A4299"/>
    <w:rsid w:val="009C04AC"/>
    <w:rsid w:val="009D0D7E"/>
    <w:rsid w:val="009D32C9"/>
    <w:rsid w:val="009F0448"/>
    <w:rsid w:val="009F0572"/>
    <w:rsid w:val="009F3BE0"/>
    <w:rsid w:val="00A04296"/>
    <w:rsid w:val="00A21EDE"/>
    <w:rsid w:val="00A30FBA"/>
    <w:rsid w:val="00A35C1C"/>
    <w:rsid w:val="00A40868"/>
    <w:rsid w:val="00A41AC3"/>
    <w:rsid w:val="00A5474B"/>
    <w:rsid w:val="00A6089F"/>
    <w:rsid w:val="00A753EB"/>
    <w:rsid w:val="00A75579"/>
    <w:rsid w:val="00AB1A37"/>
    <w:rsid w:val="00AE0FD6"/>
    <w:rsid w:val="00AF4676"/>
    <w:rsid w:val="00B031DF"/>
    <w:rsid w:val="00B13944"/>
    <w:rsid w:val="00B14935"/>
    <w:rsid w:val="00B15FD4"/>
    <w:rsid w:val="00B27052"/>
    <w:rsid w:val="00B35667"/>
    <w:rsid w:val="00B4729F"/>
    <w:rsid w:val="00B4757C"/>
    <w:rsid w:val="00B5661F"/>
    <w:rsid w:val="00B60454"/>
    <w:rsid w:val="00B6059B"/>
    <w:rsid w:val="00B6519E"/>
    <w:rsid w:val="00B668AC"/>
    <w:rsid w:val="00B81256"/>
    <w:rsid w:val="00B90DB4"/>
    <w:rsid w:val="00B97427"/>
    <w:rsid w:val="00BA23A0"/>
    <w:rsid w:val="00BD2F18"/>
    <w:rsid w:val="00BE15D4"/>
    <w:rsid w:val="00BF3CD7"/>
    <w:rsid w:val="00C12916"/>
    <w:rsid w:val="00C154C4"/>
    <w:rsid w:val="00C212CE"/>
    <w:rsid w:val="00C27057"/>
    <w:rsid w:val="00C32AAD"/>
    <w:rsid w:val="00C35D18"/>
    <w:rsid w:val="00C45D52"/>
    <w:rsid w:val="00C4780A"/>
    <w:rsid w:val="00C6305E"/>
    <w:rsid w:val="00C67A6B"/>
    <w:rsid w:val="00C71D7E"/>
    <w:rsid w:val="00C83C4A"/>
    <w:rsid w:val="00CA67B0"/>
    <w:rsid w:val="00CA7283"/>
    <w:rsid w:val="00CB036E"/>
    <w:rsid w:val="00CB08A7"/>
    <w:rsid w:val="00CB7EB5"/>
    <w:rsid w:val="00CC2B8D"/>
    <w:rsid w:val="00CD07B5"/>
    <w:rsid w:val="00CF0226"/>
    <w:rsid w:val="00D10DC2"/>
    <w:rsid w:val="00D138A9"/>
    <w:rsid w:val="00D148F5"/>
    <w:rsid w:val="00D15548"/>
    <w:rsid w:val="00D20731"/>
    <w:rsid w:val="00D24293"/>
    <w:rsid w:val="00D27C22"/>
    <w:rsid w:val="00D43C2B"/>
    <w:rsid w:val="00D44186"/>
    <w:rsid w:val="00D67220"/>
    <w:rsid w:val="00D7255A"/>
    <w:rsid w:val="00D73FE4"/>
    <w:rsid w:val="00D74591"/>
    <w:rsid w:val="00D749C0"/>
    <w:rsid w:val="00D81092"/>
    <w:rsid w:val="00D90AA1"/>
    <w:rsid w:val="00D920FD"/>
    <w:rsid w:val="00D92FF5"/>
    <w:rsid w:val="00D9308B"/>
    <w:rsid w:val="00DA2F9D"/>
    <w:rsid w:val="00DA47B7"/>
    <w:rsid w:val="00DA7073"/>
    <w:rsid w:val="00DA78A0"/>
    <w:rsid w:val="00DB08F1"/>
    <w:rsid w:val="00DC66F0"/>
    <w:rsid w:val="00DD1515"/>
    <w:rsid w:val="00DD3483"/>
    <w:rsid w:val="00DE5408"/>
    <w:rsid w:val="00DE6752"/>
    <w:rsid w:val="00DF15CC"/>
    <w:rsid w:val="00DF43DA"/>
    <w:rsid w:val="00E01EAB"/>
    <w:rsid w:val="00E039DB"/>
    <w:rsid w:val="00E07487"/>
    <w:rsid w:val="00E10B53"/>
    <w:rsid w:val="00E12F5F"/>
    <w:rsid w:val="00E1673D"/>
    <w:rsid w:val="00E16940"/>
    <w:rsid w:val="00E21FD6"/>
    <w:rsid w:val="00E304AF"/>
    <w:rsid w:val="00E3071C"/>
    <w:rsid w:val="00E34B7E"/>
    <w:rsid w:val="00E3698F"/>
    <w:rsid w:val="00E404FF"/>
    <w:rsid w:val="00E52EA6"/>
    <w:rsid w:val="00E63E40"/>
    <w:rsid w:val="00E658E5"/>
    <w:rsid w:val="00E744F9"/>
    <w:rsid w:val="00E819C0"/>
    <w:rsid w:val="00E85422"/>
    <w:rsid w:val="00E94114"/>
    <w:rsid w:val="00EA418E"/>
    <w:rsid w:val="00EB0AF2"/>
    <w:rsid w:val="00EC64C3"/>
    <w:rsid w:val="00ED14FC"/>
    <w:rsid w:val="00ED4EE4"/>
    <w:rsid w:val="00EF069C"/>
    <w:rsid w:val="00EF534F"/>
    <w:rsid w:val="00F1037B"/>
    <w:rsid w:val="00F17C89"/>
    <w:rsid w:val="00F25C4C"/>
    <w:rsid w:val="00F26892"/>
    <w:rsid w:val="00F32CAD"/>
    <w:rsid w:val="00F3641D"/>
    <w:rsid w:val="00F5057D"/>
    <w:rsid w:val="00F53A3F"/>
    <w:rsid w:val="00F560EE"/>
    <w:rsid w:val="00F7434A"/>
    <w:rsid w:val="00F76FF6"/>
    <w:rsid w:val="00F8093E"/>
    <w:rsid w:val="00F82728"/>
    <w:rsid w:val="00F84576"/>
    <w:rsid w:val="00F8615A"/>
    <w:rsid w:val="00F92A48"/>
    <w:rsid w:val="00F93689"/>
    <w:rsid w:val="00FB1673"/>
    <w:rsid w:val="00FB7B07"/>
    <w:rsid w:val="00FD1D4A"/>
    <w:rsid w:val="00FD5AC4"/>
    <w:rsid w:val="00FF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F3164D-1819-438A-8D21-82A9BAA1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fontTable" Target="fontTable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Praxis!$A$3</c:f>
              <c:strCache>
                <c:ptCount val="1"/>
                <c:pt idx="0">
                  <c:v>Early Childhood</c:v>
                </c:pt>
              </c:strCache>
            </c:strRef>
          </c:tx>
          <c:spPr>
            <a:solidFill>
              <a:srgbClr val="9933FF"/>
            </a:solidFill>
            <a:ln>
              <a:noFill/>
            </a:ln>
            <a:effectLst/>
            <a:sp3d/>
          </c:spPr>
          <c:invertIfNegative val="0"/>
          <c:cat>
            <c:strRef>
              <c:f>Praxis!$B$2:$E$2</c:f>
              <c:strCache>
                <c:ptCount val="4"/>
                <c:pt idx="0">
                  <c:v>UCA First Time Mean</c:v>
                </c:pt>
                <c:pt idx="1">
                  <c:v>UCA Highest Score Mean</c:v>
                </c:pt>
                <c:pt idx="2">
                  <c:v>State Average Mean</c:v>
                </c:pt>
                <c:pt idx="3">
                  <c:v>National Average Mean</c:v>
                </c:pt>
              </c:strCache>
            </c:strRef>
          </c:cat>
          <c:val>
            <c:numRef>
              <c:f>Praxis!$B$3:$E$3</c:f>
              <c:numCache>
                <c:formatCode>General</c:formatCode>
                <c:ptCount val="4"/>
                <c:pt idx="0">
                  <c:v>178</c:v>
                </c:pt>
                <c:pt idx="1">
                  <c:v>178</c:v>
                </c:pt>
                <c:pt idx="2">
                  <c:v>177</c:v>
                </c:pt>
                <c:pt idx="3">
                  <c:v>174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13910976"/>
        <c:axId val="313911760"/>
        <c:axId val="0"/>
      </c:bar3DChart>
      <c:catAx>
        <c:axId val="313910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3911760"/>
        <c:crosses val="autoZero"/>
        <c:auto val="1"/>
        <c:lblAlgn val="ctr"/>
        <c:lblOffset val="100"/>
        <c:noMultiLvlLbl val="0"/>
      </c:catAx>
      <c:valAx>
        <c:axId val="313911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2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391097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2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Middle School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Praxis!$B$5</c:f>
              <c:strCache>
                <c:ptCount val="1"/>
                <c:pt idx="0">
                  <c:v>UCA First Time Mean</c:v>
                </c:pt>
              </c:strCache>
            </c:strRef>
          </c:tx>
          <c:spPr>
            <a:solidFill>
              <a:srgbClr val="9933FF"/>
            </a:solidFill>
            <a:ln>
              <a:noFill/>
            </a:ln>
            <a:effectLst/>
            <a:sp3d/>
          </c:spPr>
          <c:invertIfNegative val="0"/>
          <c:cat>
            <c:strRef>
              <c:f>Praxis!$A$6:$A$9</c:f>
              <c:strCache>
                <c:ptCount val="4"/>
                <c:pt idx="0">
                  <c:v>Middle School: English</c:v>
                </c:pt>
                <c:pt idx="1">
                  <c:v>Middle School: Mathematics</c:v>
                </c:pt>
                <c:pt idx="2">
                  <c:v>Middle School: Social Studies</c:v>
                </c:pt>
                <c:pt idx="3">
                  <c:v>Middle School: Science</c:v>
                </c:pt>
              </c:strCache>
            </c:strRef>
          </c:cat>
          <c:val>
            <c:numRef>
              <c:f>Praxis!$B$6:$B$9</c:f>
              <c:numCache>
                <c:formatCode>General</c:formatCode>
                <c:ptCount val="4"/>
                <c:pt idx="0">
                  <c:v>170</c:v>
                </c:pt>
                <c:pt idx="1">
                  <c:v>141</c:v>
                </c:pt>
                <c:pt idx="2">
                  <c:v>142</c:v>
                </c:pt>
                <c:pt idx="3">
                  <c:v>141</c:v>
                </c:pt>
              </c:numCache>
            </c:numRef>
          </c:val>
        </c:ser>
        <c:ser>
          <c:idx val="1"/>
          <c:order val="1"/>
          <c:tx>
            <c:strRef>
              <c:f>Praxis!$C$5</c:f>
              <c:strCache>
                <c:ptCount val="1"/>
                <c:pt idx="0">
                  <c:v>UCA Highest Score Mean</c:v>
                </c:pt>
              </c:strCache>
            </c:strRef>
          </c:tx>
          <c:spPr>
            <a:solidFill>
              <a:srgbClr val="6600FF"/>
            </a:solidFill>
            <a:ln>
              <a:noFill/>
            </a:ln>
            <a:effectLst/>
            <a:sp3d/>
          </c:spPr>
          <c:invertIfNegative val="0"/>
          <c:cat>
            <c:strRef>
              <c:f>Praxis!$A$6:$A$9</c:f>
              <c:strCache>
                <c:ptCount val="4"/>
                <c:pt idx="0">
                  <c:v>Middle School: English</c:v>
                </c:pt>
                <c:pt idx="1">
                  <c:v>Middle School: Mathematics</c:v>
                </c:pt>
                <c:pt idx="2">
                  <c:v>Middle School: Social Studies</c:v>
                </c:pt>
                <c:pt idx="3">
                  <c:v>Middle School: Science</c:v>
                </c:pt>
              </c:strCache>
            </c:strRef>
          </c:cat>
          <c:val>
            <c:numRef>
              <c:f>Praxis!$C$6:$C$9</c:f>
              <c:numCache>
                <c:formatCode>General</c:formatCode>
                <c:ptCount val="4"/>
                <c:pt idx="0">
                  <c:v>169</c:v>
                </c:pt>
                <c:pt idx="1">
                  <c:v>142</c:v>
                </c:pt>
                <c:pt idx="2">
                  <c:v>141</c:v>
                </c:pt>
                <c:pt idx="3">
                  <c:v>142</c:v>
                </c:pt>
              </c:numCache>
            </c:numRef>
          </c:val>
        </c:ser>
        <c:ser>
          <c:idx val="2"/>
          <c:order val="2"/>
          <c:tx>
            <c:strRef>
              <c:f>Praxis!$D$5</c:f>
              <c:strCache>
                <c:ptCount val="1"/>
                <c:pt idx="0">
                  <c:v>State Average Mean</c:v>
                </c:pt>
              </c:strCache>
            </c:strRef>
          </c:tx>
          <c:spPr>
            <a:solidFill>
              <a:srgbClr val="FF6699"/>
            </a:solidFill>
            <a:ln>
              <a:noFill/>
            </a:ln>
            <a:effectLst/>
            <a:sp3d/>
          </c:spPr>
          <c:invertIfNegative val="0"/>
          <c:cat>
            <c:strRef>
              <c:f>Praxis!$A$6:$A$9</c:f>
              <c:strCache>
                <c:ptCount val="4"/>
                <c:pt idx="0">
                  <c:v>Middle School: English</c:v>
                </c:pt>
                <c:pt idx="1">
                  <c:v>Middle School: Mathematics</c:v>
                </c:pt>
                <c:pt idx="2">
                  <c:v>Middle School: Social Studies</c:v>
                </c:pt>
                <c:pt idx="3">
                  <c:v>Middle School: Science</c:v>
                </c:pt>
              </c:strCache>
            </c:strRef>
          </c:cat>
          <c:val>
            <c:numRef>
              <c:f>Praxis!$D$6:$D$9</c:f>
              <c:numCache>
                <c:formatCode>General</c:formatCode>
                <c:ptCount val="4"/>
                <c:pt idx="0">
                  <c:v>170</c:v>
                </c:pt>
                <c:pt idx="1">
                  <c:v>141</c:v>
                </c:pt>
                <c:pt idx="2">
                  <c:v>142</c:v>
                </c:pt>
                <c:pt idx="3">
                  <c:v>143</c:v>
                </c:pt>
              </c:numCache>
            </c:numRef>
          </c:val>
        </c:ser>
        <c:ser>
          <c:idx val="3"/>
          <c:order val="3"/>
          <c:tx>
            <c:strRef>
              <c:f>Praxis!$E$5</c:f>
              <c:strCache>
                <c:ptCount val="1"/>
                <c:pt idx="0">
                  <c:v>National Average Mean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Praxis!$A$6:$A$9</c:f>
              <c:strCache>
                <c:ptCount val="4"/>
                <c:pt idx="0">
                  <c:v>Middle School: English</c:v>
                </c:pt>
                <c:pt idx="1">
                  <c:v>Middle School: Mathematics</c:v>
                </c:pt>
                <c:pt idx="2">
                  <c:v>Middle School: Social Studies</c:v>
                </c:pt>
                <c:pt idx="3">
                  <c:v>Middle School: Science</c:v>
                </c:pt>
              </c:strCache>
            </c:strRef>
          </c:cat>
          <c:val>
            <c:numRef>
              <c:f>Praxis!$E$6:$E$9</c:f>
              <c:numCache>
                <c:formatCode>General</c:formatCode>
                <c:ptCount val="4"/>
                <c:pt idx="0">
                  <c:v>171</c:v>
                </c:pt>
                <c:pt idx="1">
                  <c:v>141</c:v>
                </c:pt>
                <c:pt idx="2">
                  <c:v>143</c:v>
                </c:pt>
                <c:pt idx="3">
                  <c:v>143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13915680"/>
        <c:axId val="313914112"/>
        <c:axId val="0"/>
      </c:bar3DChart>
      <c:catAx>
        <c:axId val="313915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3914112"/>
        <c:crosses val="autoZero"/>
        <c:auto val="1"/>
        <c:lblAlgn val="ctr"/>
        <c:lblOffset val="100"/>
        <c:noMultiLvlLbl val="0"/>
      </c:catAx>
      <c:valAx>
        <c:axId val="313914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2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391568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2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Secondary Licensure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Praxis!$B$17</c:f>
              <c:strCache>
                <c:ptCount val="1"/>
                <c:pt idx="0">
                  <c:v>UCA First Time Mean</c:v>
                </c:pt>
              </c:strCache>
            </c:strRef>
          </c:tx>
          <c:spPr>
            <a:solidFill>
              <a:srgbClr val="9933FF"/>
            </a:solidFill>
            <a:ln>
              <a:noFill/>
            </a:ln>
            <a:effectLst/>
            <a:sp3d/>
          </c:spPr>
          <c:invertIfNegative val="0"/>
          <c:cat>
            <c:strRef>
              <c:f>Praxis!$A$18:$A$23</c:f>
              <c:strCache>
                <c:ptCount val="6"/>
                <c:pt idx="0">
                  <c:v>Biology</c:v>
                </c:pt>
                <c:pt idx="1">
                  <c:v>English</c:v>
                </c:pt>
                <c:pt idx="2">
                  <c:v>FACS</c:v>
                </c:pt>
                <c:pt idx="3">
                  <c:v>Mathematics</c:v>
                </c:pt>
                <c:pt idx="4">
                  <c:v>Physical Science</c:v>
                </c:pt>
                <c:pt idx="5">
                  <c:v>Social Studies</c:v>
                </c:pt>
              </c:strCache>
            </c:strRef>
          </c:cat>
          <c:val>
            <c:numRef>
              <c:f>Praxis!$B$18:$B$23</c:f>
              <c:numCache>
                <c:formatCode>General</c:formatCode>
                <c:ptCount val="6"/>
                <c:pt idx="0">
                  <c:v>157</c:v>
                </c:pt>
                <c:pt idx="1">
                  <c:v>183</c:v>
                </c:pt>
                <c:pt idx="2">
                  <c:v>164</c:v>
                </c:pt>
                <c:pt idx="3">
                  <c:v>143</c:v>
                </c:pt>
                <c:pt idx="4">
                  <c:v>167</c:v>
                </c:pt>
                <c:pt idx="5">
                  <c:v>156</c:v>
                </c:pt>
              </c:numCache>
            </c:numRef>
          </c:val>
        </c:ser>
        <c:ser>
          <c:idx val="1"/>
          <c:order val="1"/>
          <c:tx>
            <c:strRef>
              <c:f>Praxis!$C$17</c:f>
              <c:strCache>
                <c:ptCount val="1"/>
                <c:pt idx="0">
                  <c:v>UCA Highest Score Mean</c:v>
                </c:pt>
              </c:strCache>
            </c:strRef>
          </c:tx>
          <c:spPr>
            <a:solidFill>
              <a:srgbClr val="6600FF"/>
            </a:solidFill>
            <a:ln>
              <a:noFill/>
            </a:ln>
            <a:effectLst/>
            <a:sp3d/>
          </c:spPr>
          <c:invertIfNegative val="0"/>
          <c:cat>
            <c:strRef>
              <c:f>Praxis!$A$18:$A$23</c:f>
              <c:strCache>
                <c:ptCount val="6"/>
                <c:pt idx="0">
                  <c:v>Biology</c:v>
                </c:pt>
                <c:pt idx="1">
                  <c:v>English</c:v>
                </c:pt>
                <c:pt idx="2">
                  <c:v>FACS</c:v>
                </c:pt>
                <c:pt idx="3">
                  <c:v>Mathematics</c:v>
                </c:pt>
                <c:pt idx="4">
                  <c:v>Physical Science</c:v>
                </c:pt>
                <c:pt idx="5">
                  <c:v>Social Studies</c:v>
                </c:pt>
              </c:strCache>
            </c:strRef>
          </c:cat>
          <c:val>
            <c:numRef>
              <c:f>Praxis!$C$18:$C$23</c:f>
              <c:numCache>
                <c:formatCode>General</c:formatCode>
                <c:ptCount val="6"/>
                <c:pt idx="0">
                  <c:v>157</c:v>
                </c:pt>
                <c:pt idx="1">
                  <c:v>184</c:v>
                </c:pt>
                <c:pt idx="2">
                  <c:v>164</c:v>
                </c:pt>
                <c:pt idx="3">
                  <c:v>141</c:v>
                </c:pt>
                <c:pt idx="4">
                  <c:v>167</c:v>
                </c:pt>
                <c:pt idx="5">
                  <c:v>157</c:v>
                </c:pt>
              </c:numCache>
            </c:numRef>
          </c:val>
        </c:ser>
        <c:ser>
          <c:idx val="2"/>
          <c:order val="2"/>
          <c:tx>
            <c:strRef>
              <c:f>Praxis!$D$17</c:f>
              <c:strCache>
                <c:ptCount val="1"/>
                <c:pt idx="0">
                  <c:v>State Average Mean</c:v>
                </c:pt>
              </c:strCache>
            </c:strRef>
          </c:tx>
          <c:spPr>
            <a:solidFill>
              <a:srgbClr val="FF6699"/>
            </a:solidFill>
            <a:ln>
              <a:noFill/>
            </a:ln>
            <a:effectLst/>
            <a:sp3d/>
          </c:spPr>
          <c:invertIfNegative val="0"/>
          <c:cat>
            <c:strRef>
              <c:f>Praxis!$A$18:$A$23</c:f>
              <c:strCache>
                <c:ptCount val="6"/>
                <c:pt idx="0">
                  <c:v>Biology</c:v>
                </c:pt>
                <c:pt idx="1">
                  <c:v>English</c:v>
                </c:pt>
                <c:pt idx="2">
                  <c:v>FACS</c:v>
                </c:pt>
                <c:pt idx="3">
                  <c:v>Mathematics</c:v>
                </c:pt>
                <c:pt idx="4">
                  <c:v>Physical Science</c:v>
                </c:pt>
                <c:pt idx="5">
                  <c:v>Social Studies</c:v>
                </c:pt>
              </c:strCache>
            </c:strRef>
          </c:cat>
          <c:val>
            <c:numRef>
              <c:f>Praxis!$D$18:$D$23</c:f>
              <c:numCache>
                <c:formatCode>General</c:formatCode>
                <c:ptCount val="6"/>
                <c:pt idx="0">
                  <c:v>155</c:v>
                </c:pt>
                <c:pt idx="1">
                  <c:v>175</c:v>
                </c:pt>
                <c:pt idx="2">
                  <c:v>165</c:v>
                </c:pt>
                <c:pt idx="3">
                  <c:v>140</c:v>
                </c:pt>
                <c:pt idx="4">
                  <c:v>159</c:v>
                </c:pt>
                <c:pt idx="5">
                  <c:v>155</c:v>
                </c:pt>
              </c:numCache>
            </c:numRef>
          </c:val>
        </c:ser>
        <c:ser>
          <c:idx val="3"/>
          <c:order val="3"/>
          <c:tx>
            <c:strRef>
              <c:f>Praxis!$E$17</c:f>
              <c:strCache>
                <c:ptCount val="1"/>
                <c:pt idx="0">
                  <c:v>National Average Mean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Praxis!$A$18:$A$23</c:f>
              <c:strCache>
                <c:ptCount val="6"/>
                <c:pt idx="0">
                  <c:v>Biology</c:v>
                </c:pt>
                <c:pt idx="1">
                  <c:v>English</c:v>
                </c:pt>
                <c:pt idx="2">
                  <c:v>FACS</c:v>
                </c:pt>
                <c:pt idx="3">
                  <c:v>Mathematics</c:v>
                </c:pt>
                <c:pt idx="4">
                  <c:v>Physical Science</c:v>
                </c:pt>
                <c:pt idx="5">
                  <c:v>Social Studies</c:v>
                </c:pt>
              </c:strCache>
            </c:strRef>
          </c:cat>
          <c:val>
            <c:numRef>
              <c:f>Praxis!$E$18:$E$23</c:f>
              <c:numCache>
                <c:formatCode>General</c:formatCode>
                <c:ptCount val="6"/>
                <c:pt idx="0">
                  <c:v>160</c:v>
                </c:pt>
                <c:pt idx="1">
                  <c:v>176</c:v>
                </c:pt>
                <c:pt idx="2">
                  <c:v>169</c:v>
                </c:pt>
                <c:pt idx="3">
                  <c:v>146</c:v>
                </c:pt>
                <c:pt idx="4">
                  <c:v>163</c:v>
                </c:pt>
                <c:pt idx="5">
                  <c:v>158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0034760"/>
        <c:axId val="450029272"/>
        <c:axId val="0"/>
      </c:bar3DChart>
      <c:catAx>
        <c:axId val="450034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0029272"/>
        <c:crosses val="autoZero"/>
        <c:auto val="1"/>
        <c:lblAlgn val="ctr"/>
        <c:lblOffset val="100"/>
        <c:noMultiLvlLbl val="0"/>
      </c:catAx>
      <c:valAx>
        <c:axId val="450029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003476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2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Principles of learning and teaching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Praxis!$B$26</c:f>
              <c:strCache>
                <c:ptCount val="1"/>
                <c:pt idx="0">
                  <c:v>UCA First Time Mean</c:v>
                </c:pt>
              </c:strCache>
            </c:strRef>
          </c:tx>
          <c:spPr>
            <a:solidFill>
              <a:srgbClr val="9933FF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Praxis!$A$27:$A$29</c:f>
              <c:strCache>
                <c:ptCount val="3"/>
                <c:pt idx="0">
                  <c:v>PLT: Early Childhood</c:v>
                </c:pt>
                <c:pt idx="1">
                  <c:v>PLT: Grades 5-9</c:v>
                </c:pt>
                <c:pt idx="2">
                  <c:v>PLT: Grades 7-12</c:v>
                </c:pt>
              </c:strCache>
            </c:strRef>
          </c:cat>
          <c:val>
            <c:numRef>
              <c:f>Praxis!$B$27:$B$29</c:f>
              <c:numCache>
                <c:formatCode>General</c:formatCode>
                <c:ptCount val="3"/>
                <c:pt idx="0">
                  <c:v>170</c:v>
                </c:pt>
                <c:pt idx="1">
                  <c:v>178</c:v>
                </c:pt>
                <c:pt idx="2">
                  <c:v>171</c:v>
                </c:pt>
              </c:numCache>
            </c:numRef>
          </c:val>
        </c:ser>
        <c:ser>
          <c:idx val="1"/>
          <c:order val="1"/>
          <c:tx>
            <c:strRef>
              <c:f>Praxis!$C$26</c:f>
              <c:strCache>
                <c:ptCount val="1"/>
                <c:pt idx="0">
                  <c:v>UCA Highest Score Mean</c:v>
                </c:pt>
              </c:strCache>
            </c:strRef>
          </c:tx>
          <c:spPr>
            <a:solidFill>
              <a:srgbClr val="6600FF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Praxis!$A$27:$A$29</c:f>
              <c:strCache>
                <c:ptCount val="3"/>
                <c:pt idx="0">
                  <c:v>PLT: Early Childhood</c:v>
                </c:pt>
                <c:pt idx="1">
                  <c:v>PLT: Grades 5-9</c:v>
                </c:pt>
                <c:pt idx="2">
                  <c:v>PLT: Grades 7-12</c:v>
                </c:pt>
              </c:strCache>
            </c:strRef>
          </c:cat>
          <c:val>
            <c:numRef>
              <c:f>Praxis!$C$27:$C$29</c:f>
              <c:numCache>
                <c:formatCode>General</c:formatCode>
                <c:ptCount val="3"/>
                <c:pt idx="0">
                  <c:v>171</c:v>
                </c:pt>
                <c:pt idx="1">
                  <c:v>178</c:v>
                </c:pt>
                <c:pt idx="2">
                  <c:v>171</c:v>
                </c:pt>
              </c:numCache>
            </c:numRef>
          </c:val>
        </c:ser>
        <c:ser>
          <c:idx val="2"/>
          <c:order val="2"/>
          <c:tx>
            <c:strRef>
              <c:f>Praxis!$D$26</c:f>
              <c:strCache>
                <c:ptCount val="1"/>
                <c:pt idx="0">
                  <c:v>State Average Mean</c:v>
                </c:pt>
              </c:strCache>
            </c:strRef>
          </c:tx>
          <c:spPr>
            <a:solidFill>
              <a:srgbClr val="FF6699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Praxis!$A$27:$A$29</c:f>
              <c:strCache>
                <c:ptCount val="3"/>
                <c:pt idx="0">
                  <c:v>PLT: Early Childhood</c:v>
                </c:pt>
                <c:pt idx="1">
                  <c:v>PLT: Grades 5-9</c:v>
                </c:pt>
                <c:pt idx="2">
                  <c:v>PLT: Grades 7-12</c:v>
                </c:pt>
              </c:strCache>
            </c:strRef>
          </c:cat>
          <c:val>
            <c:numRef>
              <c:f>Praxis!$D$27:$D$29</c:f>
              <c:numCache>
                <c:formatCode>General</c:formatCode>
                <c:ptCount val="3"/>
                <c:pt idx="0">
                  <c:v>168</c:v>
                </c:pt>
                <c:pt idx="1">
                  <c:v>172</c:v>
                </c:pt>
                <c:pt idx="2">
                  <c:v>168</c:v>
                </c:pt>
              </c:numCache>
            </c:numRef>
          </c:val>
        </c:ser>
        <c:ser>
          <c:idx val="3"/>
          <c:order val="3"/>
          <c:tx>
            <c:strRef>
              <c:f>Praxis!$E$26</c:f>
              <c:strCache>
                <c:ptCount val="1"/>
                <c:pt idx="0">
                  <c:v>National Average Mean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Praxis!$A$27:$A$29</c:f>
              <c:strCache>
                <c:ptCount val="3"/>
                <c:pt idx="0">
                  <c:v>PLT: Early Childhood</c:v>
                </c:pt>
                <c:pt idx="1">
                  <c:v>PLT: Grades 5-9</c:v>
                </c:pt>
                <c:pt idx="2">
                  <c:v>PLT: Grades 7-12</c:v>
                </c:pt>
              </c:strCache>
            </c:strRef>
          </c:cat>
          <c:val>
            <c:numRef>
              <c:f>Praxis!$E$27:$E$29</c:f>
              <c:numCache>
                <c:formatCode>General</c:formatCode>
                <c:ptCount val="3"/>
                <c:pt idx="0">
                  <c:v>168</c:v>
                </c:pt>
                <c:pt idx="1">
                  <c:v>173</c:v>
                </c:pt>
                <c:pt idx="2">
                  <c:v>173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50032408"/>
        <c:axId val="450031624"/>
        <c:axId val="0"/>
      </c:bar3DChart>
      <c:catAx>
        <c:axId val="450032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0031624"/>
        <c:crosses val="autoZero"/>
        <c:auto val="1"/>
        <c:lblAlgn val="ctr"/>
        <c:lblOffset val="100"/>
        <c:noMultiLvlLbl val="0"/>
      </c:catAx>
      <c:valAx>
        <c:axId val="450031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003240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2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Novice Teacher Survey Results - UCA and State Aggregated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PgmEvals!$B$1</c:f>
              <c:strCache>
                <c:ptCount val="1"/>
                <c:pt idx="0">
                  <c:v>UCA Average</c:v>
                </c:pt>
              </c:strCache>
            </c:strRef>
          </c:tx>
          <c:spPr>
            <a:solidFill>
              <a:srgbClr val="6600FF"/>
            </a:solidFill>
            <a:ln>
              <a:noFill/>
            </a:ln>
            <a:effectLst/>
          </c:spPr>
          <c:invertIfNegative val="0"/>
          <c:cat>
            <c:strRef>
              <c:f>PgmEvals!$A$2:$A$17</c:f>
              <c:strCache>
                <c:ptCount val="16"/>
                <c:pt idx="0">
                  <c:v>Knowledge of learner development</c:v>
                </c:pt>
                <c:pt idx="1">
                  <c:v>Content knowledge preparation</c:v>
                </c:pt>
                <c:pt idx="2">
                  <c:v>Lesson planning skills</c:v>
                </c:pt>
                <c:pt idx="3">
                  <c:v>Instructional strategies and skills</c:v>
                </c:pt>
                <c:pt idx="4">
                  <c:v>Use of instructional technology</c:v>
                </c:pt>
                <c:pt idx="5">
                  <c:v>Consideration of diversity among your students</c:v>
                </c:pt>
                <c:pt idx="6">
                  <c:v>Establishing a culture for learning</c:v>
                </c:pt>
                <c:pt idx="7">
                  <c:v>Creating an effective learning environment</c:v>
                </c:pt>
                <c:pt idx="8">
                  <c:v>Managing student behavior</c:v>
                </c:pt>
                <c:pt idx="9">
                  <c:v>Assessment of student learning</c:v>
                </c:pt>
                <c:pt idx="10">
                  <c:v>Communicating with families</c:v>
                </c:pt>
                <c:pt idx="11">
                  <c:v>Leadership collaboration and professional growth</c:v>
                </c:pt>
                <c:pt idx="12">
                  <c:v>Extent that your instructors modeled best teaching practices and use of technology</c:v>
                </c:pt>
                <c:pt idx="13">
                  <c:v>Availability of resources to support instruction and resource</c:v>
                </c:pt>
                <c:pt idx="14">
                  <c:v>Quality of student teaching experience</c:v>
                </c:pt>
                <c:pt idx="15">
                  <c:v>Average</c:v>
                </c:pt>
              </c:strCache>
            </c:strRef>
          </c:cat>
          <c:val>
            <c:numRef>
              <c:f>PgmEvals!$B$2:$B$17</c:f>
              <c:numCache>
                <c:formatCode>General</c:formatCode>
                <c:ptCount val="16"/>
                <c:pt idx="0">
                  <c:v>4.4470000000000001</c:v>
                </c:pt>
                <c:pt idx="1">
                  <c:v>4.3970000000000002</c:v>
                </c:pt>
                <c:pt idx="2">
                  <c:v>4.532</c:v>
                </c:pt>
                <c:pt idx="3">
                  <c:v>4.5039999999999996</c:v>
                </c:pt>
                <c:pt idx="4">
                  <c:v>4.3330000000000002</c:v>
                </c:pt>
                <c:pt idx="5">
                  <c:v>4.5960000000000001</c:v>
                </c:pt>
                <c:pt idx="6">
                  <c:v>4.5819999999999999</c:v>
                </c:pt>
                <c:pt idx="7">
                  <c:v>4.4039999999999999</c:v>
                </c:pt>
                <c:pt idx="8">
                  <c:v>4.1769999999999996</c:v>
                </c:pt>
                <c:pt idx="9">
                  <c:v>4.3550000000000004</c:v>
                </c:pt>
                <c:pt idx="10">
                  <c:v>4.1559999999999997</c:v>
                </c:pt>
                <c:pt idx="11">
                  <c:v>4.4610000000000003</c:v>
                </c:pt>
                <c:pt idx="12">
                  <c:v>4.3550000000000004</c:v>
                </c:pt>
                <c:pt idx="13">
                  <c:v>4.4180000000000001</c:v>
                </c:pt>
                <c:pt idx="14">
                  <c:v>4.4180000000000001</c:v>
                </c:pt>
                <c:pt idx="15">
                  <c:v>4.4089999999999998</c:v>
                </c:pt>
              </c:numCache>
            </c:numRef>
          </c:val>
        </c:ser>
        <c:ser>
          <c:idx val="1"/>
          <c:order val="1"/>
          <c:tx>
            <c:strRef>
              <c:f>PgmEvals!$C$1</c:f>
              <c:strCache>
                <c:ptCount val="1"/>
                <c:pt idx="0">
                  <c:v>State Average</c:v>
                </c:pt>
              </c:strCache>
            </c:strRef>
          </c:tx>
          <c:spPr>
            <a:solidFill>
              <a:srgbClr val="FF6699"/>
            </a:solidFill>
            <a:ln>
              <a:noFill/>
            </a:ln>
            <a:effectLst/>
          </c:spPr>
          <c:invertIfNegative val="0"/>
          <c:cat>
            <c:strRef>
              <c:f>PgmEvals!$A$2:$A$17</c:f>
              <c:strCache>
                <c:ptCount val="16"/>
                <c:pt idx="0">
                  <c:v>Knowledge of learner development</c:v>
                </c:pt>
                <c:pt idx="1">
                  <c:v>Content knowledge preparation</c:v>
                </c:pt>
                <c:pt idx="2">
                  <c:v>Lesson planning skills</c:v>
                </c:pt>
                <c:pt idx="3">
                  <c:v>Instructional strategies and skills</c:v>
                </c:pt>
                <c:pt idx="4">
                  <c:v>Use of instructional technology</c:v>
                </c:pt>
                <c:pt idx="5">
                  <c:v>Consideration of diversity among your students</c:v>
                </c:pt>
                <c:pt idx="6">
                  <c:v>Establishing a culture for learning</c:v>
                </c:pt>
                <c:pt idx="7">
                  <c:v>Creating an effective learning environment</c:v>
                </c:pt>
                <c:pt idx="8">
                  <c:v>Managing student behavior</c:v>
                </c:pt>
                <c:pt idx="9">
                  <c:v>Assessment of student learning</c:v>
                </c:pt>
                <c:pt idx="10">
                  <c:v>Communicating with families</c:v>
                </c:pt>
                <c:pt idx="11">
                  <c:v>Leadership collaboration and professional growth</c:v>
                </c:pt>
                <c:pt idx="12">
                  <c:v>Extent that your instructors modeled best teaching practices and use of technology</c:v>
                </c:pt>
                <c:pt idx="13">
                  <c:v>Availability of resources to support instruction and resource</c:v>
                </c:pt>
                <c:pt idx="14">
                  <c:v>Quality of student teaching experience</c:v>
                </c:pt>
                <c:pt idx="15">
                  <c:v>Average</c:v>
                </c:pt>
              </c:strCache>
            </c:strRef>
          </c:cat>
          <c:val>
            <c:numRef>
              <c:f>PgmEvals!$C$2:$C$17</c:f>
              <c:numCache>
                <c:formatCode>General</c:formatCode>
                <c:ptCount val="16"/>
                <c:pt idx="0">
                  <c:v>4.2069999999999999</c:v>
                </c:pt>
                <c:pt idx="1">
                  <c:v>4.2089999999999996</c:v>
                </c:pt>
                <c:pt idx="2">
                  <c:v>4.258</c:v>
                </c:pt>
                <c:pt idx="3">
                  <c:v>4.2300000000000004</c:v>
                </c:pt>
                <c:pt idx="4">
                  <c:v>4.0190000000000001</c:v>
                </c:pt>
                <c:pt idx="5">
                  <c:v>4.2910000000000004</c:v>
                </c:pt>
                <c:pt idx="6">
                  <c:v>4.2709999999999999</c:v>
                </c:pt>
                <c:pt idx="7">
                  <c:v>4.1399999999999997</c:v>
                </c:pt>
                <c:pt idx="8">
                  <c:v>3.8980000000000001</c:v>
                </c:pt>
                <c:pt idx="9">
                  <c:v>4.1219999999999999</c:v>
                </c:pt>
                <c:pt idx="10">
                  <c:v>3.94</c:v>
                </c:pt>
                <c:pt idx="11">
                  <c:v>4.2130000000000001</c:v>
                </c:pt>
                <c:pt idx="12">
                  <c:v>3.9929999999999999</c:v>
                </c:pt>
                <c:pt idx="13">
                  <c:v>4.077</c:v>
                </c:pt>
                <c:pt idx="14">
                  <c:v>4.2610000000000001</c:v>
                </c:pt>
                <c:pt idx="15">
                  <c:v>4.1420000000000003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50023784"/>
        <c:axId val="450046128"/>
      </c:barChart>
      <c:catAx>
        <c:axId val="4500237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0046128"/>
        <c:crosses val="autoZero"/>
        <c:auto val="1"/>
        <c:lblAlgn val="ctr"/>
        <c:lblOffset val="100"/>
        <c:noMultiLvlLbl val="0"/>
      </c:catAx>
      <c:valAx>
        <c:axId val="4500461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00237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600" b="0" i="0" baseline="0">
                <a:effectLst/>
              </a:rPr>
              <a:t>Novice Teacher Survey Results - </a:t>
            </a:r>
          </a:p>
          <a:p>
            <a:pPr>
              <a:defRPr/>
            </a:pPr>
            <a:r>
              <a:rPr lang="en-US" sz="1600" b="0" i="0" baseline="0">
                <a:effectLst/>
              </a:rPr>
              <a:t>UCA and State Undergraduate</a:t>
            </a:r>
            <a:endParaRPr lang="en-US" sz="12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PgmEvals!$B$40</c:f>
              <c:strCache>
                <c:ptCount val="1"/>
                <c:pt idx="0">
                  <c:v>UCA UG Average</c:v>
                </c:pt>
              </c:strCache>
            </c:strRef>
          </c:tx>
          <c:spPr>
            <a:solidFill>
              <a:srgbClr val="6600FF"/>
            </a:solidFill>
            <a:ln>
              <a:noFill/>
            </a:ln>
            <a:effectLst/>
          </c:spPr>
          <c:invertIfNegative val="0"/>
          <c:cat>
            <c:strRef>
              <c:f>PgmEvals!$A$41:$A$56</c:f>
              <c:strCache>
                <c:ptCount val="16"/>
                <c:pt idx="0">
                  <c:v>Knowledge of learner development</c:v>
                </c:pt>
                <c:pt idx="1">
                  <c:v>Content knowledge preparation</c:v>
                </c:pt>
                <c:pt idx="2">
                  <c:v>Lesson planning skills</c:v>
                </c:pt>
                <c:pt idx="3">
                  <c:v>Instructional strategies and skills</c:v>
                </c:pt>
                <c:pt idx="4">
                  <c:v>Use of instructional technology</c:v>
                </c:pt>
                <c:pt idx="5">
                  <c:v>Consideration of diversity among your students</c:v>
                </c:pt>
                <c:pt idx="6">
                  <c:v>Establishing a culture for learning</c:v>
                </c:pt>
                <c:pt idx="7">
                  <c:v>Creating an effective learning environment</c:v>
                </c:pt>
                <c:pt idx="8">
                  <c:v>Managing student behavior</c:v>
                </c:pt>
                <c:pt idx="9">
                  <c:v>Assessment of student learning</c:v>
                </c:pt>
                <c:pt idx="10">
                  <c:v>Communicating with families</c:v>
                </c:pt>
                <c:pt idx="11">
                  <c:v>Leadership collaboration and professional growth</c:v>
                </c:pt>
                <c:pt idx="12">
                  <c:v>Extent that your instructors modeled best teaching practices and use of technology</c:v>
                </c:pt>
                <c:pt idx="13">
                  <c:v>Availability of resources to support instruction and resource</c:v>
                </c:pt>
                <c:pt idx="14">
                  <c:v>Quality of student teaching experience</c:v>
                </c:pt>
                <c:pt idx="15">
                  <c:v>Average</c:v>
                </c:pt>
              </c:strCache>
            </c:strRef>
          </c:cat>
          <c:val>
            <c:numRef>
              <c:f>PgmEvals!$B$41:$B$56</c:f>
              <c:numCache>
                <c:formatCode>General</c:formatCode>
                <c:ptCount val="16"/>
                <c:pt idx="0">
                  <c:v>4.3170000000000002</c:v>
                </c:pt>
                <c:pt idx="1">
                  <c:v>4.3010000000000002</c:v>
                </c:pt>
                <c:pt idx="2">
                  <c:v>4.3630000000000004</c:v>
                </c:pt>
                <c:pt idx="3">
                  <c:v>4.3730000000000002</c:v>
                </c:pt>
                <c:pt idx="4">
                  <c:v>4.1909999999999998</c:v>
                </c:pt>
                <c:pt idx="5">
                  <c:v>4.4960000000000004</c:v>
                </c:pt>
                <c:pt idx="6">
                  <c:v>4.4009999999999998</c:v>
                </c:pt>
                <c:pt idx="7">
                  <c:v>4.2300000000000004</c:v>
                </c:pt>
                <c:pt idx="8">
                  <c:v>3.9340000000000002</c:v>
                </c:pt>
                <c:pt idx="9">
                  <c:v>4.2160000000000002</c:v>
                </c:pt>
                <c:pt idx="10">
                  <c:v>4.0250000000000004</c:v>
                </c:pt>
                <c:pt idx="11">
                  <c:v>4.2910000000000004</c:v>
                </c:pt>
                <c:pt idx="12">
                  <c:v>4.1289999999999996</c:v>
                </c:pt>
                <c:pt idx="13">
                  <c:v>4.226</c:v>
                </c:pt>
                <c:pt idx="14">
                  <c:v>4.3540000000000001</c:v>
                </c:pt>
                <c:pt idx="15">
                  <c:v>4.2560000000000002</c:v>
                </c:pt>
              </c:numCache>
            </c:numRef>
          </c:val>
        </c:ser>
        <c:ser>
          <c:idx val="1"/>
          <c:order val="1"/>
          <c:tx>
            <c:strRef>
              <c:f>PgmEvals!$C$40</c:f>
              <c:strCache>
                <c:ptCount val="1"/>
                <c:pt idx="0">
                  <c:v>State UG Average</c:v>
                </c:pt>
              </c:strCache>
            </c:strRef>
          </c:tx>
          <c:spPr>
            <a:solidFill>
              <a:srgbClr val="FF6699"/>
            </a:solidFill>
            <a:ln>
              <a:noFill/>
            </a:ln>
            <a:effectLst/>
          </c:spPr>
          <c:invertIfNegative val="0"/>
          <c:cat>
            <c:strRef>
              <c:f>PgmEvals!$A$41:$A$56</c:f>
              <c:strCache>
                <c:ptCount val="16"/>
                <c:pt idx="0">
                  <c:v>Knowledge of learner development</c:v>
                </c:pt>
                <c:pt idx="1">
                  <c:v>Content knowledge preparation</c:v>
                </c:pt>
                <c:pt idx="2">
                  <c:v>Lesson planning skills</c:v>
                </c:pt>
                <c:pt idx="3">
                  <c:v>Instructional strategies and skills</c:v>
                </c:pt>
                <c:pt idx="4">
                  <c:v>Use of instructional technology</c:v>
                </c:pt>
                <c:pt idx="5">
                  <c:v>Consideration of diversity among your students</c:v>
                </c:pt>
                <c:pt idx="6">
                  <c:v>Establishing a culture for learning</c:v>
                </c:pt>
                <c:pt idx="7">
                  <c:v>Creating an effective learning environment</c:v>
                </c:pt>
                <c:pt idx="8">
                  <c:v>Managing student behavior</c:v>
                </c:pt>
                <c:pt idx="9">
                  <c:v>Assessment of student learning</c:v>
                </c:pt>
                <c:pt idx="10">
                  <c:v>Communicating with families</c:v>
                </c:pt>
                <c:pt idx="11">
                  <c:v>Leadership collaboration and professional growth</c:v>
                </c:pt>
                <c:pt idx="12">
                  <c:v>Extent that your instructors modeled best teaching practices and use of technology</c:v>
                </c:pt>
                <c:pt idx="13">
                  <c:v>Availability of resources to support instruction and resource</c:v>
                </c:pt>
                <c:pt idx="14">
                  <c:v>Quality of student teaching experience</c:v>
                </c:pt>
                <c:pt idx="15">
                  <c:v>Average</c:v>
                </c:pt>
              </c:strCache>
            </c:strRef>
          </c:cat>
          <c:val>
            <c:numRef>
              <c:f>PgmEvals!$C$41:$C$56</c:f>
              <c:numCache>
                <c:formatCode>General</c:formatCode>
                <c:ptCount val="16"/>
                <c:pt idx="0">
                  <c:v>4.274</c:v>
                </c:pt>
                <c:pt idx="1">
                  <c:v>4.3479999999999999</c:v>
                </c:pt>
                <c:pt idx="2">
                  <c:v>4.3579999999999997</c:v>
                </c:pt>
                <c:pt idx="3">
                  <c:v>4.2610000000000001</c:v>
                </c:pt>
                <c:pt idx="4">
                  <c:v>4.0289999999999999</c:v>
                </c:pt>
                <c:pt idx="5">
                  <c:v>4.2990000000000004</c:v>
                </c:pt>
                <c:pt idx="6">
                  <c:v>4.2930000000000001</c:v>
                </c:pt>
                <c:pt idx="7">
                  <c:v>4.1829999999999998</c:v>
                </c:pt>
                <c:pt idx="8">
                  <c:v>3.94</c:v>
                </c:pt>
                <c:pt idx="9">
                  <c:v>4.1479999999999997</c:v>
                </c:pt>
                <c:pt idx="10">
                  <c:v>3.97</c:v>
                </c:pt>
                <c:pt idx="11">
                  <c:v>4.25</c:v>
                </c:pt>
                <c:pt idx="12">
                  <c:v>4.0380000000000003</c:v>
                </c:pt>
                <c:pt idx="13">
                  <c:v>4.1449999999999996</c:v>
                </c:pt>
                <c:pt idx="14">
                  <c:v>4.3920000000000003</c:v>
                </c:pt>
                <c:pt idx="15">
                  <c:v>4.1950000000000003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50041424"/>
        <c:axId val="450044168"/>
      </c:barChart>
      <c:catAx>
        <c:axId val="4500414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0044168"/>
        <c:crosses val="autoZero"/>
        <c:auto val="1"/>
        <c:lblAlgn val="ctr"/>
        <c:lblOffset val="100"/>
        <c:noMultiLvlLbl val="0"/>
      </c:catAx>
      <c:valAx>
        <c:axId val="4500441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0041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600" b="0" i="0" baseline="0">
                <a:effectLst/>
              </a:rPr>
              <a:t>Novice Teacher Survey Results - </a:t>
            </a:r>
          </a:p>
          <a:p>
            <a:pPr>
              <a:defRPr/>
            </a:pPr>
            <a:r>
              <a:rPr lang="en-US" sz="1600" b="0" i="0" baseline="0">
                <a:effectLst/>
              </a:rPr>
              <a:t>UCA and State Non Traditional/MAT</a:t>
            </a:r>
            <a:endParaRPr lang="en-US" sz="12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PgmEvals!$B$21</c:f>
              <c:strCache>
                <c:ptCount val="1"/>
                <c:pt idx="0">
                  <c:v>UCA MAT</c:v>
                </c:pt>
              </c:strCache>
            </c:strRef>
          </c:tx>
          <c:spPr>
            <a:solidFill>
              <a:srgbClr val="6600FF"/>
            </a:solidFill>
            <a:ln>
              <a:noFill/>
            </a:ln>
            <a:effectLst/>
          </c:spPr>
          <c:invertIfNegative val="0"/>
          <c:cat>
            <c:strRef>
              <c:f>PgmEvals!$A$22:$A$37</c:f>
              <c:strCache>
                <c:ptCount val="16"/>
                <c:pt idx="0">
                  <c:v>Knowledge of learner development</c:v>
                </c:pt>
                <c:pt idx="1">
                  <c:v>Content knowledge preparation</c:v>
                </c:pt>
                <c:pt idx="2">
                  <c:v>Lesson planning skills</c:v>
                </c:pt>
                <c:pt idx="3">
                  <c:v>Instructional strategies and skills</c:v>
                </c:pt>
                <c:pt idx="4">
                  <c:v>Use of instructional technology</c:v>
                </c:pt>
                <c:pt idx="5">
                  <c:v>Consideration of diversity among your students</c:v>
                </c:pt>
                <c:pt idx="6">
                  <c:v>Establishing a culture for learning</c:v>
                </c:pt>
                <c:pt idx="7">
                  <c:v>Creating an effective learning environment</c:v>
                </c:pt>
                <c:pt idx="8">
                  <c:v>Managing student behavior</c:v>
                </c:pt>
                <c:pt idx="9">
                  <c:v>Assessment of student learning</c:v>
                </c:pt>
                <c:pt idx="10">
                  <c:v>Communicating with families</c:v>
                </c:pt>
                <c:pt idx="11">
                  <c:v>Leadership collaboration and professional growth</c:v>
                </c:pt>
                <c:pt idx="12">
                  <c:v>Extent that your instructors modeled best teaching practices and use of technology</c:v>
                </c:pt>
                <c:pt idx="13">
                  <c:v>Availability of resources to support instruction and resource</c:v>
                </c:pt>
                <c:pt idx="14">
                  <c:v>Quality of student teaching experience</c:v>
                </c:pt>
                <c:pt idx="15">
                  <c:v>Average</c:v>
                </c:pt>
              </c:strCache>
            </c:strRef>
          </c:cat>
          <c:val>
            <c:numRef>
              <c:f>PgmEvals!$B$22:$B$37</c:f>
              <c:numCache>
                <c:formatCode>General</c:formatCode>
                <c:ptCount val="16"/>
                <c:pt idx="0">
                  <c:v>4.3719999999999999</c:v>
                </c:pt>
                <c:pt idx="1">
                  <c:v>4.1159999999999997</c:v>
                </c:pt>
                <c:pt idx="2">
                  <c:v>4.4420000000000002</c:v>
                </c:pt>
                <c:pt idx="3">
                  <c:v>4.4420000000000002</c:v>
                </c:pt>
                <c:pt idx="4">
                  <c:v>4.2089999999999996</c:v>
                </c:pt>
                <c:pt idx="5">
                  <c:v>4.7439999999999998</c:v>
                </c:pt>
                <c:pt idx="6">
                  <c:v>4.6509999999999998</c:v>
                </c:pt>
                <c:pt idx="7">
                  <c:v>4.4420000000000002</c:v>
                </c:pt>
                <c:pt idx="8">
                  <c:v>4.2089999999999996</c:v>
                </c:pt>
                <c:pt idx="9">
                  <c:v>4.4649999999999999</c:v>
                </c:pt>
                <c:pt idx="10">
                  <c:v>4.3259999999999996</c:v>
                </c:pt>
                <c:pt idx="11">
                  <c:v>4.4189999999999996</c:v>
                </c:pt>
                <c:pt idx="12">
                  <c:v>4.3719999999999999</c:v>
                </c:pt>
                <c:pt idx="13">
                  <c:v>4.2560000000000002</c:v>
                </c:pt>
                <c:pt idx="14">
                  <c:v>4.2560000000000002</c:v>
                </c:pt>
                <c:pt idx="15">
                  <c:v>4.3810000000000002</c:v>
                </c:pt>
              </c:numCache>
            </c:numRef>
          </c:val>
        </c:ser>
        <c:ser>
          <c:idx val="1"/>
          <c:order val="1"/>
          <c:tx>
            <c:strRef>
              <c:f>PgmEvals!$C$21</c:f>
              <c:strCache>
                <c:ptCount val="1"/>
                <c:pt idx="0">
                  <c:v>State Nontraditional Average</c:v>
                </c:pt>
              </c:strCache>
            </c:strRef>
          </c:tx>
          <c:spPr>
            <a:solidFill>
              <a:srgbClr val="FF6699"/>
            </a:solidFill>
            <a:ln>
              <a:noFill/>
            </a:ln>
            <a:effectLst/>
          </c:spPr>
          <c:invertIfNegative val="0"/>
          <c:cat>
            <c:strRef>
              <c:f>PgmEvals!$A$22:$A$37</c:f>
              <c:strCache>
                <c:ptCount val="16"/>
                <c:pt idx="0">
                  <c:v>Knowledge of learner development</c:v>
                </c:pt>
                <c:pt idx="1">
                  <c:v>Content knowledge preparation</c:v>
                </c:pt>
                <c:pt idx="2">
                  <c:v>Lesson planning skills</c:v>
                </c:pt>
                <c:pt idx="3">
                  <c:v>Instructional strategies and skills</c:v>
                </c:pt>
                <c:pt idx="4">
                  <c:v>Use of instructional technology</c:v>
                </c:pt>
                <c:pt idx="5">
                  <c:v>Consideration of diversity among your students</c:v>
                </c:pt>
                <c:pt idx="6">
                  <c:v>Establishing a culture for learning</c:v>
                </c:pt>
                <c:pt idx="7">
                  <c:v>Creating an effective learning environment</c:v>
                </c:pt>
                <c:pt idx="8">
                  <c:v>Managing student behavior</c:v>
                </c:pt>
                <c:pt idx="9">
                  <c:v>Assessment of student learning</c:v>
                </c:pt>
                <c:pt idx="10">
                  <c:v>Communicating with families</c:v>
                </c:pt>
                <c:pt idx="11">
                  <c:v>Leadership collaboration and professional growth</c:v>
                </c:pt>
                <c:pt idx="12">
                  <c:v>Extent that your instructors modeled best teaching practices and use of technology</c:v>
                </c:pt>
                <c:pt idx="13">
                  <c:v>Availability of resources to support instruction and resource</c:v>
                </c:pt>
                <c:pt idx="14">
                  <c:v>Quality of student teaching experience</c:v>
                </c:pt>
                <c:pt idx="15">
                  <c:v>Average</c:v>
                </c:pt>
              </c:strCache>
            </c:strRef>
          </c:cat>
          <c:val>
            <c:numRef>
              <c:f>PgmEvals!$C$22:$C$37</c:f>
              <c:numCache>
                <c:formatCode>General</c:formatCode>
                <c:ptCount val="16"/>
                <c:pt idx="0">
                  <c:v>4.056</c:v>
                </c:pt>
                <c:pt idx="1">
                  <c:v>3.903</c:v>
                </c:pt>
                <c:pt idx="2">
                  <c:v>4.032</c:v>
                </c:pt>
                <c:pt idx="3">
                  <c:v>4.141</c:v>
                </c:pt>
                <c:pt idx="4">
                  <c:v>3.9940000000000002</c:v>
                </c:pt>
                <c:pt idx="5">
                  <c:v>4.258</c:v>
                </c:pt>
                <c:pt idx="6">
                  <c:v>4.2080000000000002</c:v>
                </c:pt>
                <c:pt idx="7">
                  <c:v>4.0380000000000003</c:v>
                </c:pt>
                <c:pt idx="8">
                  <c:v>3.786</c:v>
                </c:pt>
                <c:pt idx="9">
                  <c:v>4.0529999999999999</c:v>
                </c:pt>
                <c:pt idx="10">
                  <c:v>3.8740000000000001</c:v>
                </c:pt>
                <c:pt idx="11">
                  <c:v>4.109</c:v>
                </c:pt>
                <c:pt idx="12">
                  <c:v>3.891</c:v>
                </c:pt>
                <c:pt idx="13">
                  <c:v>3.9180000000000001</c:v>
                </c:pt>
                <c:pt idx="14">
                  <c:v>3.9740000000000002</c:v>
                </c:pt>
                <c:pt idx="15">
                  <c:v>4.016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50045344"/>
        <c:axId val="450046912"/>
      </c:barChart>
      <c:catAx>
        <c:axId val="4500453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0046912"/>
        <c:crosses val="autoZero"/>
        <c:auto val="1"/>
        <c:lblAlgn val="ctr"/>
        <c:lblOffset val="100"/>
        <c:noMultiLvlLbl val="0"/>
      </c:catAx>
      <c:valAx>
        <c:axId val="4500469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0045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Wake</dc:creator>
  <cp:keywords/>
  <dc:description/>
  <cp:lastModifiedBy>Donna Wake</cp:lastModifiedBy>
  <cp:revision>4</cp:revision>
  <dcterms:created xsi:type="dcterms:W3CDTF">2014-10-29T15:09:00Z</dcterms:created>
  <dcterms:modified xsi:type="dcterms:W3CDTF">2014-11-05T21:15:00Z</dcterms:modified>
</cp:coreProperties>
</file>