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70" w:rsidRDefault="00B966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3A3613" w:rsidTr="0073038D">
        <w:tc>
          <w:tcPr>
            <w:tcW w:w="2444" w:type="dxa"/>
          </w:tcPr>
          <w:p w:rsidR="003A3613" w:rsidRDefault="003A3613"/>
        </w:tc>
        <w:tc>
          <w:tcPr>
            <w:tcW w:w="2721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3A3613" w:rsidTr="0073038D">
        <w:tc>
          <w:tcPr>
            <w:tcW w:w="2444" w:type="dxa"/>
          </w:tcPr>
          <w:p w:rsidR="003A3613" w:rsidRPr="00220A54" w:rsidRDefault="003A3613" w:rsidP="00220A5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20A54">
              <w:rPr>
                <w:rFonts w:ascii="Garamond" w:hAnsi="Garamond"/>
                <w:b/>
                <w:sz w:val="24"/>
              </w:rPr>
              <w:t>Connection Between SLO and Measure</w:t>
            </w:r>
          </w:p>
        </w:tc>
        <w:tc>
          <w:tcPr>
            <w:tcW w:w="2721" w:type="dxa"/>
          </w:tcPr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 clear description of the tool/activity/method is provided.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AND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Tools Used to measure student achievement of the student learning outcome are primarily direct measures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AND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And explanation is provided about how the assessment tool relates to the outcome being assessed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AND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Multiple tools are used to gather data for the outcome and/or assessment tool has been validated.</w:t>
            </w:r>
          </w:p>
        </w:tc>
        <w:tc>
          <w:tcPr>
            <w:tcW w:w="2721" w:type="dxa"/>
          </w:tcPr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 clear description of the tool/activity/method is provided.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AND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Tools used to measure student achievement of the student learning outcome are primarily direct measures.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AND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 explanation is provided about how the assessment tool relates to the outcome being assessed.</w:t>
            </w:r>
          </w:p>
        </w:tc>
        <w:tc>
          <w:tcPr>
            <w:tcW w:w="2532" w:type="dxa"/>
          </w:tcPr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An incomplete description of the tool/activity/method is provided.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OR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The explanation linking the assessment tool and the student learning outcome being assessed is superficial with no clear connection; while there may be alignment, the explanation is unclear.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OR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Assessment tools are primarily indirect, and include measures such as head counts and course pass rates.</w:t>
            </w:r>
          </w:p>
        </w:tc>
        <w:tc>
          <w:tcPr>
            <w:tcW w:w="2532" w:type="dxa"/>
          </w:tcPr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No description of the tool/activity/method provided.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OR</w:t>
            </w:r>
          </w:p>
          <w:p w:rsidR="003A3613" w:rsidRPr="00220A54" w:rsidRDefault="003A3613">
            <w:pPr>
              <w:rPr>
                <w:rFonts w:ascii="Garamond" w:hAnsi="Garamond"/>
                <w:sz w:val="24"/>
              </w:rPr>
            </w:pPr>
            <w:r w:rsidRPr="00220A54">
              <w:rPr>
                <w:rFonts w:ascii="Garamond" w:hAnsi="Garamond"/>
                <w:sz w:val="24"/>
              </w:rPr>
              <w:t>No relationship is apparent between outcome and assessment tools.</w:t>
            </w:r>
          </w:p>
        </w:tc>
      </w:tr>
    </w:tbl>
    <w:p w:rsidR="0073038D" w:rsidRPr="003E6FEA" w:rsidRDefault="003E6FEA">
      <w:pPr>
        <w:rPr>
          <w:rFonts w:ascii="Garamond" w:hAnsi="Garamond"/>
          <w:i/>
          <w:sz w:val="20"/>
        </w:rPr>
      </w:pPr>
      <w:r w:rsidRPr="003E6FEA">
        <w:rPr>
          <w:rFonts w:ascii="Garamond" w:hAnsi="Garamond"/>
          <w:i/>
          <w:sz w:val="20"/>
        </w:rPr>
        <w:t>Adapted from: University of Kentucky Annual SLO Report Rubric (2016)</w:t>
      </w:r>
    </w:p>
    <w:p w:rsidR="0073038D" w:rsidRDefault="0073038D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3038D">
              <w:rPr>
                <w:rFonts w:ascii="Garamond" w:hAnsi="Garamond"/>
                <w:b/>
                <w:sz w:val="24"/>
                <w:szCs w:val="24"/>
              </w:rPr>
              <w:t>Data Collection Procedures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Complete explanation of data collection processes and protocols are provided such that the reviewer fully understands the data collection methodology (for example: time/semester and place, sampling process, population descriptions, and/or data review process).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If a rubric, grading scale, or scoring sheet was used, it is appropriate to the purposes, and a sample document is appended to the report.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Two or more reviewers are used in the data review process, or provide a secondary validation method (e.g., Cronbach’s alpha, validity survey, validating focus group).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Complete explanation of data collection processes and protocols are provided such that the external reviewer fully understands the data collection methodology (for example: time/semester and place, sampling process, population description, and/or data review process).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If a rubric, grading scale, or scoring sheet was used, it is appropriate to the purpose, and a sample document is appended to the report.</w:t>
            </w: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Limited information is provided about data collection (for example one of the following is missing: time/semester and place, sampling process, population description, and/or data review process).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There appears to be a mismatch between data collected and the student learning outcome(s) being assessed.</w:t>
            </w: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No information is provided about data collection process or data was not collected.</w:t>
            </w:r>
          </w:p>
        </w:tc>
      </w:tr>
    </w:tbl>
    <w:p w:rsidR="0073038D" w:rsidRDefault="0073038D"/>
    <w:p w:rsidR="0073038D" w:rsidRDefault="007303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3038D">
              <w:rPr>
                <w:rFonts w:ascii="Garamond" w:hAnsi="Garamond"/>
                <w:b/>
                <w:sz w:val="24"/>
                <w:szCs w:val="24"/>
              </w:rPr>
              <w:t>Summary of Results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Results are present, specific, and disaggregated within the sample population (e.g., performance criteria, demographics, etc.).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Results are represented visually with a premium on clarity, simplicity, and ease of use by the external reviewer (e.g., tables and/or graphs).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Results are present, specific, and disaggregated within the sample population (e.g., performance criteria, demographics, etc.).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Results are present and provided in aggregate format only (e.g., 80% of the students met the target, or average score is 3.5).</w:t>
            </w: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No results are present.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Results do not match the assessment tool(s) or methodology (e.g., assessment method is a rubric, however graduation rates or test scores are provided as results).</w:t>
            </w:r>
          </w:p>
        </w:tc>
      </w:tr>
    </w:tbl>
    <w:p w:rsidR="0073038D" w:rsidRDefault="0073038D"/>
    <w:p w:rsidR="0073038D" w:rsidRDefault="007303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3038D">
              <w:rPr>
                <w:rFonts w:ascii="Garamond" w:hAnsi="Garamond"/>
                <w:b/>
                <w:sz w:val="24"/>
                <w:szCs w:val="24"/>
              </w:rPr>
              <w:t>Interpretation and/or Evaluation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Interpretation of results draw connections between the methodologies and results, and seem to be reasonable inferences given the outcome(s).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A narrative is provided that outlines the discussion of results by pertinent parties involved in data analysis.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The report identifies the person(s) involved in the interpretation of data (Names are not required), and the results were shared with the program stakeholders (e.g., faculty, curriculum committee.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The report discusses benchmarks/targets/goals, whether or not they were met, and why/whey not.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3"/>
                <w:szCs w:val="23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3"/>
                <w:szCs w:val="23"/>
              </w:rPr>
              <w:t>An in depth interpretation is provided (e.g., discussion of limitations, trend data, validation, and reliability tests, results from previous years, or references to targets/goals are provided).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Interpretation of results draw connections between the methodologies and results, and seem to be reasonable inferences given the outcome(s).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 narrative is provided that outlines the discussion of results by pertinent parties involved in data analysis.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 report identifies the person(s) involved in the interpretation of data (Names are not required), and the results were shared with the program stakeholders (e.g., faculty, curriculum committee.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 report discusses benchmarks/targets/goals, whether or not they were met, and why/whey not.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Interpretation of results is ambiguous or superficial, or does not refer back to the outcomes, benchmarks, methodologies, or results.  (e.g., We met our benchmarks, or the students were successful)</w:t>
            </w: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No interpretation attempted.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 analysis of results repeats what is stated in the Results category of the report.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(e.g., 14 students received distinguished ratings, or the average score was 3.5)</w:t>
            </w:r>
          </w:p>
        </w:tc>
      </w:tr>
    </w:tbl>
    <w:p w:rsidR="0073038D" w:rsidRDefault="00730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3038D">
              <w:rPr>
                <w:rFonts w:ascii="Garamond" w:hAnsi="Garamond"/>
                <w:b/>
                <w:sz w:val="24"/>
                <w:szCs w:val="24"/>
              </w:rPr>
              <w:t>Student Learning Improvement Actions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Improvement Actions focus on the improvement of student learning.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Description of intended improvement actions are provided.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There is a clear explanation of the link between the improvement actions and assessment findings.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Rationale of intended improvement action is tied to empirical/research based evidence.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 improvement actions are specific, with a brief implementation plan (e.g., approximate dates of and person(s) responsible for implementation, and where in curriculum/activities and department/program they will occur.)</w:t>
            </w:r>
          </w:p>
        </w:tc>
        <w:tc>
          <w:tcPr>
            <w:tcW w:w="2721" w:type="dxa"/>
          </w:tcPr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Improvement Actions focus on the improvement of student learning.</w:t>
            </w:r>
          </w:p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Description of intended improvement actions are provided.</w:t>
            </w:r>
          </w:p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There is a clear explanation of the link between the improvement actions and assessment findings.</w:t>
            </w:r>
          </w:p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AND</w:t>
            </w:r>
          </w:p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The improvements are somewhat specific (e.g., approximate dates, and where in curriculum/activities and department/program the they will occur).</w:t>
            </w:r>
          </w:p>
          <w:p w:rsidR="0073038D" w:rsidRPr="0073038D" w:rsidRDefault="0073038D" w:rsidP="0073038D">
            <w:pPr>
              <w:rPr>
                <w:rFonts w:ascii="Garamond" w:hAnsi="Garamond"/>
                <w:szCs w:val="23"/>
              </w:rPr>
            </w:pPr>
            <w:r w:rsidRPr="0073038D">
              <w:rPr>
                <w:rFonts w:ascii="Garamond" w:hAnsi="Garamond"/>
                <w:szCs w:val="23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Cs w:val="23"/>
              </w:rPr>
              <w:t>If no improvements are planned, then the program has provided a justification or rational, such as: 1) increase the benchmark, or explain why the benchmark does not need to be increased; 2)state plans to focus on another area of concern for future assessments, 3) and work to monitor and maintain the current level of success for this outcome (i.e., “because” statements).</w:t>
            </w: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Improvement Actions focus on the improvement of the assessment process.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Description of intended improvement actions are minimal or nonexistent.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 explanation of the link between improvement actions and assessment findings is not clear.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The improvements are too general (e.g., we will lad an assignment, or we will do better next year).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No improvements planned and no justification or explanation is given.</w:t>
            </w:r>
          </w:p>
        </w:tc>
        <w:tc>
          <w:tcPr>
            <w:tcW w:w="2532" w:type="dxa"/>
          </w:tcPr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  <w:r w:rsidRPr="0073038D">
              <w:rPr>
                <w:rFonts w:ascii="Garamond" w:hAnsi="Garamond"/>
                <w:sz w:val="24"/>
                <w:szCs w:val="24"/>
              </w:rPr>
              <w:t>No improvements are provided.</w:t>
            </w:r>
          </w:p>
        </w:tc>
      </w:tr>
    </w:tbl>
    <w:p w:rsidR="003E6FEA" w:rsidRDefault="003E6FEA" w:rsidP="003E6FEA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br/>
      </w:r>
    </w:p>
    <w:p w:rsidR="003A3613" w:rsidRDefault="003E6FEA" w:rsidP="003E6FEA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>
            <wp:extent cx="4667250" cy="18687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iz-digital-fu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18" cy="18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EA" w:rsidRDefault="003E6FEA" w:rsidP="003E6FEA">
      <w:pPr>
        <w:jc w:val="center"/>
        <w:rPr>
          <w:rFonts w:ascii="Garamond" w:hAnsi="Garamond"/>
          <w:sz w:val="32"/>
        </w:rPr>
      </w:pPr>
    </w:p>
    <w:p w:rsidR="003E6FEA" w:rsidRDefault="003E6FEA" w:rsidP="003E6FEA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Academic Assessment Committee (AAC)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Academic Affairs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Office of Assessment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201 Donaghey Ave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215 Wingo Hall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Conway, AR 72035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501-450-3253</w:t>
      </w:r>
    </w:p>
    <w:sectPr w:rsidR="003E6FEA" w:rsidRPr="003E6FEA" w:rsidSect="003A3613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52" w:rsidRDefault="00CF0F52" w:rsidP="003A3613">
      <w:pPr>
        <w:spacing w:after="0" w:line="240" w:lineRule="auto"/>
      </w:pPr>
      <w:r>
        <w:separator/>
      </w:r>
    </w:p>
  </w:endnote>
  <w:endnote w:type="continuationSeparator" w:id="0">
    <w:p w:rsidR="00CF0F52" w:rsidRDefault="00CF0F52" w:rsidP="003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664163"/>
      <w:docPartObj>
        <w:docPartGallery w:val="Page Numbers (Bottom of Page)"/>
        <w:docPartUnique/>
      </w:docPartObj>
    </w:sdtPr>
    <w:sdtContent>
      <w:p w:rsidR="00220A54" w:rsidRDefault="00220A5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A54" w:rsidRDefault="00220A5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E6FE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220A54" w:rsidRDefault="00220A5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E6FEA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43F7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90849"/>
      <w:docPartObj>
        <w:docPartGallery w:val="Page Numbers (Bottom of Page)"/>
        <w:docPartUnique/>
      </w:docPartObj>
    </w:sdtPr>
    <w:sdtContent>
      <w:p w:rsidR="00220A54" w:rsidRDefault="00220A54" w:rsidP="00220A5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6EA22EB" wp14:editId="6F4A7D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A54" w:rsidRDefault="00220A54" w:rsidP="00220A5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E6FE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EA22E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7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FP9/wzsCAABx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220A54" w:rsidRDefault="00220A54" w:rsidP="00220A5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E6FE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7ABE983" wp14:editId="392A0A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F205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kS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LCKK&#10;djiirTNU7htHno2BnpSgFLYRDJn5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SdwkS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  <w:p w:rsidR="00220A54" w:rsidRDefault="0022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52" w:rsidRDefault="00CF0F52" w:rsidP="003A3613">
      <w:pPr>
        <w:spacing w:after="0" w:line="240" w:lineRule="auto"/>
      </w:pPr>
      <w:r>
        <w:separator/>
      </w:r>
    </w:p>
  </w:footnote>
  <w:footnote w:type="continuationSeparator" w:id="0">
    <w:p w:rsidR="00CF0F52" w:rsidRDefault="00CF0F52" w:rsidP="003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13" w:rsidRDefault="003A3613" w:rsidP="003A3613">
    <w:pPr>
      <w:pStyle w:val="Header"/>
      <w:jc w:val="center"/>
      <w:rPr>
        <w:rFonts w:ascii="Garamond" w:hAnsi="Garamond"/>
        <w:sz w:val="40"/>
        <w:szCs w:val="40"/>
      </w:rPr>
    </w:pPr>
    <w:r w:rsidRPr="003A3613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27AC88B" wp14:editId="7B6C60F9">
          <wp:simplePos x="0" y="0"/>
          <wp:positionH relativeFrom="margin">
            <wp:posOffset>95250</wp:posOffset>
          </wp:positionH>
          <wp:positionV relativeFrom="paragraph">
            <wp:posOffset>-133350</wp:posOffset>
          </wp:positionV>
          <wp:extent cx="2428875" cy="9724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-digital-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972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sz w:val="40"/>
        <w:szCs w:val="40"/>
      </w:rPr>
      <w:t xml:space="preserve">                              </w:t>
    </w:r>
    <w:r w:rsidRPr="003A3613">
      <w:rPr>
        <w:rFonts w:ascii="Garamond" w:hAnsi="Garamond"/>
        <w:sz w:val="40"/>
        <w:szCs w:val="40"/>
      </w:rPr>
      <w:t>Annual Academic Assessment Report Rubric</w:t>
    </w:r>
  </w:p>
  <w:p w:rsidR="003A3613" w:rsidRPr="003A3613" w:rsidRDefault="003A3613" w:rsidP="003A3613">
    <w:pPr>
      <w:pStyle w:val="Header"/>
      <w:jc w:val="center"/>
      <w:rPr>
        <w:sz w:val="40"/>
        <w:szCs w:val="40"/>
      </w:rPr>
    </w:pPr>
    <w:r>
      <w:rPr>
        <w:rFonts w:ascii="Garamond" w:hAnsi="Garamond"/>
        <w:sz w:val="40"/>
        <w:szCs w:val="40"/>
      </w:rPr>
      <w:t xml:space="preserve">                              Office of Assessment (Revised 11/18/2016)</w:t>
    </w:r>
  </w:p>
  <w:p w:rsidR="003A3613" w:rsidRDefault="003A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3"/>
    <w:rsid w:val="00220A54"/>
    <w:rsid w:val="003A3613"/>
    <w:rsid w:val="003E6FEA"/>
    <w:rsid w:val="0073038D"/>
    <w:rsid w:val="00B96670"/>
    <w:rsid w:val="00C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AE07"/>
  <w15:chartTrackingRefBased/>
  <w15:docId w15:val="{7AC52E35-A14C-4869-9661-6A9EC1D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13"/>
  </w:style>
  <w:style w:type="paragraph" w:styleId="Footer">
    <w:name w:val="footer"/>
    <w:basedOn w:val="Normal"/>
    <w:link w:val="FooterChar"/>
    <w:uiPriority w:val="99"/>
    <w:unhideWhenUsed/>
    <w:rsid w:val="003A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13"/>
  </w:style>
  <w:style w:type="table" w:styleId="TableGrid">
    <w:name w:val="Table Grid"/>
    <w:basedOn w:val="TableNormal"/>
    <w:uiPriority w:val="39"/>
    <w:rsid w:val="003A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2016-11-18T20:09:00Z</dcterms:created>
  <dcterms:modified xsi:type="dcterms:W3CDTF">2016-11-18T20:48:00Z</dcterms:modified>
</cp:coreProperties>
</file>